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w:t>
      </w:r>
      <w:r w:rsidR="00EA2016">
        <w:rPr>
          <w:rFonts w:ascii="Arial" w:eastAsia="Arial Unicode MS" w:hAnsi="Arial"/>
          <w:b/>
          <w:bCs/>
          <w:kern w:val="0"/>
          <w:sz w:val="28"/>
          <w:szCs w:val="28"/>
        </w:rPr>
        <w:t>5</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w:t>
      </w:r>
      <w:r w:rsidR="003C391C">
        <w:rPr>
          <w:rFonts w:ascii="Arial" w:eastAsia="Arial Unicode MS" w:hAnsi="Arial"/>
          <w:b/>
          <w:bCs/>
          <w:kern w:val="0"/>
          <w:sz w:val="28"/>
          <w:szCs w:val="28"/>
        </w:rPr>
        <w:t>1</w:t>
      </w:r>
      <w:r w:rsidR="00485574">
        <w:rPr>
          <w:rFonts w:ascii="Arial" w:eastAsia="Arial Unicode MS" w:hAnsi="Arial"/>
          <w:b/>
          <w:bCs/>
          <w:kern w:val="0"/>
          <w:sz w:val="28"/>
          <w:szCs w:val="28"/>
        </w:rPr>
        <w:t>0</w:t>
      </w:r>
      <w:r w:rsidR="009F7356" w:rsidRPr="009F7356">
        <w:rPr>
          <w:rFonts w:ascii="Arial" w:eastAsia="Arial Unicode MS" w:hAnsi="Arial"/>
          <w:b/>
          <w:bCs/>
          <w:kern w:val="0"/>
          <w:sz w:val="28"/>
          <w:szCs w:val="28"/>
        </w:rPr>
        <w:t>8137</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A2016">
        <w:rPr>
          <w:rFonts w:ascii="Arial" w:eastAsia="Arial Unicode MS" w:hAnsi="Arial"/>
          <w:b/>
          <w:bCs/>
          <w:kern w:val="0"/>
          <w:sz w:val="24"/>
          <w:szCs w:val="20"/>
        </w:rPr>
        <w:t>16</w:t>
      </w:r>
      <w:r w:rsidR="003C391C">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1C1521">
        <w:rPr>
          <w:rFonts w:ascii="Arial" w:eastAsia="Arial Unicode MS" w:hAnsi="Arial"/>
          <w:b/>
          <w:bCs/>
          <w:kern w:val="0"/>
          <w:sz w:val="24"/>
          <w:szCs w:val="20"/>
        </w:rPr>
        <w:t>27</w:t>
      </w:r>
      <w:r w:rsidR="00EB0333">
        <w:rPr>
          <w:rFonts w:ascii="Arial" w:eastAsia="Arial Unicode MS" w:hAnsi="Arial"/>
          <w:b/>
          <w:bCs/>
          <w:kern w:val="0"/>
          <w:sz w:val="24"/>
          <w:szCs w:val="20"/>
        </w:rPr>
        <w:t xml:space="preserve"> </w:t>
      </w:r>
      <w:r w:rsidR="00EA2016">
        <w:rPr>
          <w:rFonts w:ascii="Arial" w:eastAsia="Arial Unicode MS" w:hAnsi="Arial"/>
          <w:b/>
          <w:bCs/>
          <w:kern w:val="0"/>
          <w:sz w:val="24"/>
          <w:szCs w:val="20"/>
        </w:rPr>
        <w:t>August</w:t>
      </w:r>
      <w:r w:rsidR="003E16F6" w:rsidRPr="002C6C08">
        <w:rPr>
          <w:rFonts w:ascii="Arial" w:eastAsia="Arial Unicode MS" w:hAnsi="Arial" w:hint="eastAsia"/>
          <w:b/>
          <w:bCs/>
          <w:kern w:val="0"/>
          <w:sz w:val="24"/>
          <w:szCs w:val="20"/>
        </w:rPr>
        <w:t>,</w:t>
      </w:r>
      <w:r w:rsidR="003C391C">
        <w:rPr>
          <w:rFonts w:ascii="Arial" w:eastAsia="Arial Unicode MS" w:hAnsi="Arial"/>
          <w:b/>
          <w:bCs/>
          <w:kern w:val="0"/>
          <w:sz w:val="24"/>
          <w:szCs w:val="20"/>
        </w:rPr>
        <w:t xml:space="preserve"> 2021</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94A13">
        <w:rPr>
          <w:rFonts w:ascii="Arial" w:eastAsia="Arial Unicode MS" w:hAnsi="Arial" w:cs="Arial"/>
          <w:b/>
          <w:bCs/>
          <w:kern w:val="0"/>
          <w:sz w:val="24"/>
          <w:szCs w:val="20"/>
        </w:rPr>
        <w:t xml:space="preserve">8.12.2.2  </w:t>
      </w:r>
      <w:r w:rsidR="00A124DF" w:rsidRPr="00A124DF">
        <w:rPr>
          <w:rFonts w:ascii="Arial" w:eastAsia="Arial Unicode MS" w:hAnsi="Arial" w:cs="Arial"/>
          <w:b/>
          <w:bCs/>
          <w:kern w:val="0"/>
          <w:sz w:val="24"/>
          <w:szCs w:val="20"/>
        </w:rPr>
        <w:t>Identification, access and camping restrictions</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0509B2" w:rsidRPr="000509B2">
        <w:rPr>
          <w:rFonts w:ascii="Arial" w:eastAsia="Arial Unicode MS" w:hAnsi="Arial" w:cs="Arial"/>
          <w:b/>
          <w:bCs/>
          <w:kern w:val="0"/>
          <w:sz w:val="24"/>
          <w:szCs w:val="20"/>
        </w:rPr>
        <w:t>Initial BWP for RedCap</w:t>
      </w:r>
    </w:p>
    <w:p w:rsidR="008D7675" w:rsidRPr="002C6C08" w:rsidRDefault="008D7675" w:rsidP="008D7675">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Default="0045162B"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w:t>
      </w:r>
      <w:r w:rsidR="001D40F6">
        <w:rPr>
          <w:rFonts w:ascii="Arial" w:eastAsia="Arial Unicode MS" w:hAnsi="Arial"/>
          <w:kern w:val="0"/>
          <w:sz w:val="20"/>
          <w:szCs w:val="20"/>
        </w:rPr>
        <w:t xml:space="preserve">this meeting, </w:t>
      </w:r>
      <w:r w:rsidR="003A0D4F">
        <w:rPr>
          <w:rFonts w:ascii="Arial" w:eastAsia="Arial Unicode MS" w:hAnsi="Arial"/>
          <w:kern w:val="0"/>
          <w:sz w:val="20"/>
          <w:szCs w:val="20"/>
        </w:rPr>
        <w:t xml:space="preserve">RAN2 receives </w:t>
      </w:r>
      <w:r w:rsidR="00325701">
        <w:rPr>
          <w:rFonts w:ascii="Arial" w:eastAsia="Arial Unicode MS" w:hAnsi="Arial"/>
          <w:kern w:val="0"/>
          <w:sz w:val="20"/>
          <w:szCs w:val="20"/>
        </w:rPr>
        <w:t xml:space="preserve">new RAN1 LS which includes the </w:t>
      </w:r>
      <w:r w:rsidR="003A0D4F">
        <w:rPr>
          <w:rFonts w:ascii="Arial" w:eastAsia="Arial Unicode MS" w:hAnsi="Arial"/>
          <w:kern w:val="0"/>
          <w:sz w:val="20"/>
          <w:szCs w:val="20"/>
        </w:rPr>
        <w:t>agreements</w:t>
      </w:r>
      <w:r w:rsidR="009B112E">
        <w:rPr>
          <w:rFonts w:ascii="Arial" w:eastAsia="Arial Unicode MS" w:hAnsi="Arial"/>
          <w:kern w:val="0"/>
          <w:sz w:val="20"/>
          <w:szCs w:val="20"/>
        </w:rPr>
        <w:t xml:space="preserve"> below</w:t>
      </w:r>
      <w:r w:rsidR="003A0D4F">
        <w:rPr>
          <w:rFonts w:ascii="Arial" w:eastAsia="Arial Unicode MS" w:hAnsi="Arial"/>
          <w:kern w:val="0"/>
          <w:sz w:val="20"/>
          <w:szCs w:val="20"/>
        </w:rPr>
        <w:t xml:space="preserve"> for RedCap [1].</w:t>
      </w:r>
    </w:p>
    <w:tbl>
      <w:tblPr>
        <w:tblStyle w:val="a8"/>
        <w:tblW w:w="0" w:type="auto"/>
        <w:tblLook w:val="04A0" w:firstRow="1" w:lastRow="0" w:firstColumn="1" w:lastColumn="0" w:noHBand="0" w:noVBand="1"/>
      </w:tblPr>
      <w:tblGrid>
        <w:gridCol w:w="9629"/>
      </w:tblGrid>
      <w:tr w:rsidR="001D40F6" w:rsidTr="001162F8">
        <w:tc>
          <w:tcPr>
            <w:tcW w:w="9629" w:type="dxa"/>
          </w:tcPr>
          <w:p w:rsidR="001D40F6" w:rsidRPr="00A51348" w:rsidRDefault="001D40F6" w:rsidP="001162F8">
            <w:pPr>
              <w:widowControl/>
              <w:snapToGrid w:val="0"/>
              <w:contextualSpacing/>
              <w:jc w:val="left"/>
              <w:rPr>
                <w:rFonts w:ascii="Times" w:eastAsia="Batang" w:hAnsi="Times" w:cs="Times New Roman"/>
                <w:kern w:val="0"/>
                <w:sz w:val="20"/>
                <w:szCs w:val="24"/>
                <w:highlight w:val="darkYellow"/>
                <w:lang w:eastAsia="en-US"/>
              </w:rPr>
            </w:pPr>
            <w:r w:rsidRPr="00A51348">
              <w:rPr>
                <w:rFonts w:ascii="Times" w:eastAsia="Batang" w:hAnsi="Times" w:cs="Times New Roman"/>
                <w:kern w:val="0"/>
                <w:sz w:val="20"/>
                <w:szCs w:val="24"/>
                <w:highlight w:val="darkYellow"/>
                <w:lang w:eastAsia="en-US"/>
              </w:rPr>
              <w:t>Working assumption:</w:t>
            </w:r>
          </w:p>
          <w:p w:rsidR="001D40F6" w:rsidRPr="00A51348" w:rsidRDefault="001D40F6" w:rsidP="001162F8">
            <w:pPr>
              <w:widowControl/>
              <w:numPr>
                <w:ilvl w:val="0"/>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lang w:val="en-US"/>
              </w:rPr>
            </w:pPr>
            <w:r w:rsidRPr="00A51348">
              <w:rPr>
                <w:rFonts w:ascii="Times New Roman" w:eastAsia="Times New Roman" w:hAnsi="Times New Roman" w:cs="Times New Roman"/>
                <w:kern w:val="0"/>
                <w:sz w:val="20"/>
                <w:szCs w:val="20"/>
                <w:lang w:eastAsia="zh-CN"/>
              </w:rPr>
              <w:t>For 4-step RACH, support the early indication of RedCap UEs at least in Msg1.</w:t>
            </w:r>
          </w:p>
          <w:p w:rsidR="001D40F6" w:rsidRPr="00A51348" w:rsidRDefault="001D40F6" w:rsidP="001162F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The early indication in Msg1 can be configured to be enabled/disabled</w:t>
            </w:r>
          </w:p>
          <w:p w:rsidR="001D40F6" w:rsidRPr="00A51348" w:rsidRDefault="001D40F6" w:rsidP="001162F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FFS How to support enable/disable the early indication</w:t>
            </w:r>
          </w:p>
          <w:p w:rsidR="001D40F6" w:rsidRPr="00A51348" w:rsidRDefault="001D40F6" w:rsidP="001162F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FFS details e.g.:</w:t>
            </w:r>
          </w:p>
          <w:p w:rsidR="001D40F6" w:rsidRPr="00A51348" w:rsidRDefault="001D40F6" w:rsidP="001162F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separate initial UL BWP</w:t>
            </w:r>
          </w:p>
          <w:p w:rsidR="001D40F6" w:rsidRPr="00A51348" w:rsidRDefault="001D40F6" w:rsidP="001162F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separate PRACH resource</w:t>
            </w:r>
          </w:p>
          <w:p w:rsidR="001D40F6" w:rsidRPr="00A51348" w:rsidRDefault="001D40F6" w:rsidP="001162F8">
            <w:pPr>
              <w:widowControl/>
              <w:numPr>
                <w:ilvl w:val="2"/>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PRACH preamble partitioning</w:t>
            </w:r>
          </w:p>
          <w:p w:rsidR="001D40F6" w:rsidRPr="00A51348" w:rsidRDefault="001D40F6" w:rsidP="001162F8">
            <w:pPr>
              <w:widowControl/>
              <w:numPr>
                <w:ilvl w:val="1"/>
                <w:numId w:val="4"/>
              </w:numPr>
              <w:overflowPunct w:val="0"/>
              <w:autoSpaceDE w:val="0"/>
              <w:autoSpaceDN w:val="0"/>
              <w:adjustRightInd w:val="0"/>
              <w:snapToGrid w:val="0"/>
              <w:spacing w:after="180" w:line="252" w:lineRule="auto"/>
              <w:contextualSpacing/>
              <w:jc w:val="left"/>
              <w:textAlignment w:val="baseline"/>
              <w:rPr>
                <w:rFonts w:ascii="Times New Roman" w:eastAsia="Times New Roman" w:hAnsi="Times New Roman" w:cs="Times New Roman"/>
                <w:kern w:val="0"/>
                <w:sz w:val="20"/>
                <w:szCs w:val="20"/>
              </w:rPr>
            </w:pPr>
            <w:r w:rsidRPr="00A51348">
              <w:rPr>
                <w:rFonts w:ascii="Times New Roman" w:eastAsia="Times New Roman" w:hAnsi="Times New Roman" w:cs="Times New Roman"/>
                <w:kern w:val="0"/>
                <w:sz w:val="20"/>
                <w:szCs w:val="20"/>
              </w:rPr>
              <w:t xml:space="preserve">FFS the possibility of supporting Msg3 for the early indication </w:t>
            </w:r>
          </w:p>
          <w:p w:rsidR="001D40F6" w:rsidRPr="00A51348" w:rsidRDefault="001D40F6" w:rsidP="001162F8">
            <w:pPr>
              <w:widowControl/>
              <w:snapToGrid w:val="0"/>
              <w:contextualSpacing/>
              <w:rPr>
                <w:rFonts w:ascii="Times New Roman" w:eastAsia="Calibri" w:hAnsi="Times New Roman" w:cs="Times New Roman"/>
                <w:kern w:val="0"/>
                <w:sz w:val="20"/>
                <w:szCs w:val="20"/>
                <w:lang w:eastAsia="en-US"/>
              </w:rPr>
            </w:pPr>
          </w:p>
          <w:p w:rsidR="001D40F6" w:rsidRPr="00A51348" w:rsidRDefault="001D40F6" w:rsidP="001162F8">
            <w:pPr>
              <w:widowControl/>
              <w:snapToGrid w:val="0"/>
              <w:contextualSpacing/>
              <w:rPr>
                <w:rFonts w:ascii="Times New Roman" w:eastAsia="Batang" w:hAnsi="Times New Roman" w:cs="Times New Roman"/>
                <w:kern w:val="0"/>
                <w:sz w:val="20"/>
                <w:szCs w:val="20"/>
              </w:rPr>
            </w:pPr>
            <w:r w:rsidRPr="00A51348">
              <w:rPr>
                <w:rFonts w:ascii="Times" w:eastAsia="Batang" w:hAnsi="Times" w:cs="Times New Roman"/>
                <w:kern w:val="0"/>
                <w:sz w:val="20"/>
                <w:szCs w:val="20"/>
                <w:highlight w:val="green"/>
              </w:rPr>
              <w:t>Agreement</w:t>
            </w:r>
            <w:r w:rsidRPr="00A51348">
              <w:rPr>
                <w:rFonts w:ascii="Times" w:eastAsia="Batang" w:hAnsi="Times" w:cs="Times New Roman"/>
                <w:kern w:val="0"/>
                <w:sz w:val="20"/>
                <w:szCs w:val="20"/>
              </w:rPr>
              <w:t>: (if the above working assumption is confirmed)</w:t>
            </w:r>
          </w:p>
          <w:p w:rsidR="001D40F6" w:rsidRPr="00A51348" w:rsidRDefault="001D40F6" w:rsidP="001162F8">
            <w:pPr>
              <w:widowControl/>
              <w:numPr>
                <w:ilvl w:val="0"/>
                <w:numId w:val="4"/>
              </w:numPr>
              <w:overflowPunct w:val="0"/>
              <w:autoSpaceDE w:val="0"/>
              <w:autoSpaceDN w:val="0"/>
              <w:adjustRightInd w:val="0"/>
              <w:snapToGrid w:val="0"/>
              <w:spacing w:after="180" w:line="252" w:lineRule="auto"/>
              <w:contextualSpacing/>
              <w:jc w:val="left"/>
              <w:textAlignment w:val="baseline"/>
              <w:rPr>
                <w:rFonts w:ascii="Times" w:eastAsia="Batang" w:hAnsi="Times" w:cs="Times"/>
                <w:kern w:val="0"/>
                <w:sz w:val="20"/>
                <w:szCs w:val="20"/>
              </w:rPr>
            </w:pPr>
            <w:r w:rsidRPr="00A51348">
              <w:rPr>
                <w:rFonts w:ascii="Times" w:eastAsia="Batang" w:hAnsi="Times" w:cs="Times"/>
                <w:kern w:val="0"/>
                <w:sz w:val="20"/>
                <w:szCs w:val="20"/>
                <w:lang w:eastAsia="zh-CN"/>
              </w:rPr>
              <w:t>Early indication</w:t>
            </w:r>
            <w:r w:rsidRPr="00A51348">
              <w:rPr>
                <w:rFonts w:ascii="Times New Roman" w:eastAsia="Times New Roman" w:hAnsi="Times New Roman" w:cs="Times"/>
                <w:kern w:val="0"/>
                <w:sz w:val="20"/>
                <w:szCs w:val="20"/>
                <w:lang w:eastAsia="zh-CN"/>
              </w:rPr>
              <w:t xml:space="preserve"> of RedCap UEs</w:t>
            </w:r>
            <w:r w:rsidRPr="00A51348">
              <w:rPr>
                <w:rFonts w:ascii="Times" w:eastAsia="Batang" w:hAnsi="Times" w:cs="Times"/>
                <w:kern w:val="0"/>
                <w:sz w:val="20"/>
                <w:szCs w:val="20"/>
                <w:lang w:eastAsia="zh-CN"/>
              </w:rPr>
              <w:t xml:space="preserve"> in Msg1 can be enabled/disabled via SIB</w:t>
            </w:r>
          </w:p>
        </w:tc>
      </w:tr>
    </w:tbl>
    <w:p w:rsidR="001D40F6" w:rsidRDefault="001D40F6" w:rsidP="003E16F6">
      <w:pPr>
        <w:widowControl/>
        <w:rPr>
          <w:rFonts w:ascii="Arial" w:eastAsia="Arial Unicode MS" w:hAnsi="Arial"/>
          <w:kern w:val="0"/>
          <w:sz w:val="20"/>
          <w:szCs w:val="20"/>
        </w:rPr>
      </w:pPr>
    </w:p>
    <w:p w:rsidR="001C5810" w:rsidRPr="002C6C08" w:rsidRDefault="00CE6063"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RAN1 is discussing </w:t>
      </w:r>
      <w:r>
        <w:rPr>
          <w:rFonts w:ascii="Arial" w:eastAsia="Arial Unicode MS" w:hAnsi="Arial"/>
          <w:kern w:val="0"/>
          <w:sz w:val="20"/>
          <w:szCs w:val="20"/>
        </w:rPr>
        <w:t>a possibility of separate initial UL BWP, which is used as early identification. Apart from this motivation, c</w:t>
      </w:r>
      <w:r w:rsidR="00325701">
        <w:rPr>
          <w:rFonts w:ascii="Arial" w:eastAsia="Arial Unicode MS" w:hAnsi="Arial" w:hint="eastAsia"/>
          <w:kern w:val="0"/>
          <w:sz w:val="20"/>
          <w:szCs w:val="20"/>
        </w:rPr>
        <w:t xml:space="preserve">onsidering the </w:t>
      </w:r>
      <w:r w:rsidR="00325701">
        <w:rPr>
          <w:rFonts w:ascii="Arial" w:eastAsia="Arial Unicode MS" w:hAnsi="Arial"/>
          <w:kern w:val="0"/>
          <w:sz w:val="20"/>
          <w:szCs w:val="20"/>
        </w:rPr>
        <w:t xml:space="preserve">maximum bandwidth supported by </w:t>
      </w:r>
      <w:r w:rsidR="00325701">
        <w:rPr>
          <w:rFonts w:ascii="Arial" w:eastAsia="Arial Unicode MS" w:hAnsi="Arial" w:hint="eastAsia"/>
          <w:kern w:val="0"/>
          <w:sz w:val="20"/>
          <w:szCs w:val="20"/>
        </w:rPr>
        <w:t>RedCap UEs</w:t>
      </w:r>
      <w:r w:rsidR="00325701">
        <w:rPr>
          <w:rFonts w:ascii="Arial" w:eastAsia="Arial Unicode MS" w:hAnsi="Arial"/>
          <w:kern w:val="0"/>
          <w:sz w:val="20"/>
          <w:szCs w:val="20"/>
        </w:rPr>
        <w:t xml:space="preserve"> (20MHz in FR1, 100MHz in FR2)</w:t>
      </w:r>
      <w:r w:rsidR="00325701">
        <w:rPr>
          <w:rFonts w:ascii="Arial" w:eastAsia="Arial Unicode MS" w:hAnsi="Arial" w:hint="eastAsia"/>
          <w:kern w:val="0"/>
          <w:sz w:val="20"/>
          <w:szCs w:val="20"/>
        </w:rPr>
        <w:t xml:space="preserve">, </w:t>
      </w:r>
      <w:r w:rsidR="00721CE9">
        <w:rPr>
          <w:rFonts w:ascii="Arial" w:eastAsia="Arial Unicode MS" w:hAnsi="Arial"/>
          <w:kern w:val="0"/>
          <w:sz w:val="20"/>
          <w:szCs w:val="20"/>
        </w:rPr>
        <w:t xml:space="preserve">it might be beneficial </w:t>
      </w:r>
      <w:r w:rsidR="00325701">
        <w:rPr>
          <w:rFonts w:ascii="Arial" w:eastAsia="Arial Unicode MS" w:hAnsi="Arial"/>
          <w:kern w:val="0"/>
          <w:sz w:val="20"/>
          <w:szCs w:val="20"/>
        </w:rPr>
        <w:t xml:space="preserve">to introduce initial BWP separately from normal UEs in order to give some flexibilities </w:t>
      </w:r>
      <w:r w:rsidR="00B41DAA">
        <w:rPr>
          <w:rFonts w:ascii="Arial" w:eastAsia="Arial Unicode MS" w:hAnsi="Arial"/>
          <w:kern w:val="0"/>
          <w:sz w:val="20"/>
          <w:szCs w:val="20"/>
        </w:rPr>
        <w:t>for radio resource management</w:t>
      </w:r>
      <w:r w:rsidR="00325701">
        <w:rPr>
          <w:rFonts w:ascii="Arial" w:eastAsia="Arial Unicode MS" w:hAnsi="Arial"/>
          <w:kern w:val="0"/>
          <w:sz w:val="20"/>
          <w:szCs w:val="20"/>
        </w:rPr>
        <w:t xml:space="preserve">. </w:t>
      </w:r>
      <w:r w:rsidR="005061BF">
        <w:rPr>
          <w:rFonts w:ascii="Arial" w:eastAsia="Arial Unicode MS" w:hAnsi="Arial"/>
          <w:kern w:val="0"/>
          <w:sz w:val="20"/>
          <w:szCs w:val="20"/>
        </w:rPr>
        <w:t xml:space="preserve">In this contribution, we discuss </w:t>
      </w:r>
      <w:r w:rsidR="00C41E72">
        <w:rPr>
          <w:rFonts w:ascii="Arial" w:eastAsia="Arial Unicode MS" w:hAnsi="Arial"/>
          <w:kern w:val="0"/>
          <w:sz w:val="20"/>
          <w:szCs w:val="20"/>
        </w:rPr>
        <w:t>the initial BWP for RedCap</w:t>
      </w:r>
      <w:r w:rsidR="005061BF">
        <w:rPr>
          <w:rFonts w:ascii="Arial" w:eastAsia="Arial Unicode MS" w:hAnsi="Arial"/>
          <w:kern w:val="0"/>
          <w:sz w:val="20"/>
          <w:szCs w:val="20"/>
        </w:rPr>
        <w:t xml:space="preserve"> </w:t>
      </w:r>
      <w:r w:rsidR="00840B10">
        <w:rPr>
          <w:rFonts w:ascii="Arial" w:eastAsia="Arial Unicode MS" w:hAnsi="Arial"/>
          <w:kern w:val="0"/>
          <w:sz w:val="20"/>
          <w:szCs w:val="20"/>
        </w:rPr>
        <w:t xml:space="preserve">UEs </w:t>
      </w:r>
      <w:r w:rsidR="005061BF">
        <w:rPr>
          <w:rFonts w:ascii="Arial" w:eastAsia="Arial Unicode MS" w:hAnsi="Arial"/>
          <w:kern w:val="0"/>
          <w:sz w:val="20"/>
          <w:szCs w:val="20"/>
        </w:rPr>
        <w:t>and provide our view.</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047324" w:rsidRDefault="000A233E" w:rsidP="00C31FB2">
      <w:pPr>
        <w:widowControl/>
        <w:spacing w:after="120" w:line="240" w:lineRule="atLeast"/>
        <w:rPr>
          <w:rFonts w:ascii="Arial" w:hAnsi="Arial"/>
          <w:kern w:val="0"/>
          <w:sz w:val="20"/>
          <w:szCs w:val="20"/>
        </w:rPr>
      </w:pPr>
      <w:r>
        <w:rPr>
          <w:rFonts w:ascii="Arial" w:hAnsi="Arial"/>
          <w:kern w:val="0"/>
          <w:sz w:val="20"/>
          <w:szCs w:val="20"/>
        </w:rPr>
        <w:t>The c</w:t>
      </w:r>
      <w:r w:rsidR="00FA7A9D">
        <w:rPr>
          <w:rFonts w:ascii="Arial" w:hAnsi="Arial" w:hint="eastAsia"/>
          <w:kern w:val="0"/>
          <w:sz w:val="20"/>
          <w:szCs w:val="20"/>
        </w:rPr>
        <w:t xml:space="preserve">urrent RRC </w:t>
      </w:r>
      <w:r>
        <w:rPr>
          <w:rFonts w:ascii="Arial" w:hAnsi="Arial"/>
          <w:kern w:val="0"/>
          <w:sz w:val="20"/>
          <w:szCs w:val="20"/>
        </w:rPr>
        <w:t xml:space="preserve">specifies that the UE shall </w:t>
      </w:r>
      <w:r w:rsidR="00C23E3F">
        <w:rPr>
          <w:rFonts w:ascii="Arial" w:hAnsi="Arial"/>
          <w:kern w:val="0"/>
          <w:sz w:val="20"/>
          <w:szCs w:val="20"/>
        </w:rPr>
        <w:t>consider the cell as barred when the UE does not satisfy the condition with respect to the initial UL/DL BWP.</w:t>
      </w:r>
    </w:p>
    <w:tbl>
      <w:tblPr>
        <w:tblStyle w:val="a8"/>
        <w:tblW w:w="0" w:type="auto"/>
        <w:jc w:val="center"/>
        <w:tblLook w:val="04A0" w:firstRow="1" w:lastRow="0" w:firstColumn="1" w:lastColumn="0" w:noHBand="0" w:noVBand="1"/>
      </w:tblPr>
      <w:tblGrid>
        <w:gridCol w:w="9350"/>
      </w:tblGrid>
      <w:tr w:rsidR="00C23E3F" w:rsidTr="00C23E3F">
        <w:trPr>
          <w:jc w:val="center"/>
        </w:trPr>
        <w:tc>
          <w:tcPr>
            <w:tcW w:w="9350" w:type="dxa"/>
          </w:tcPr>
          <w:p w:rsidR="00C23E3F" w:rsidRPr="000A233E" w:rsidRDefault="00C23E3F" w:rsidP="00C23E3F">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2&gt;</w:t>
            </w:r>
            <w:r w:rsidRPr="000A233E">
              <w:rPr>
                <w:rFonts w:ascii="Times New Roman" w:eastAsia="Times New Roman" w:hAnsi="Times New Roman" w:cs="Times New Roman"/>
                <w:kern w:val="0"/>
                <w:sz w:val="20"/>
                <w:szCs w:val="20"/>
                <w:highlight w:val="yellow"/>
              </w:rPr>
              <w:tab/>
              <w:t>if the UE supports an uplink channel bandwidth with a maximum transmission bandwidth configuration (see TS 38.101-1 [15] and TS 38.101-2 [39]) which</w:t>
            </w:r>
          </w:p>
          <w:p w:rsidR="00C23E3F" w:rsidRPr="000A233E" w:rsidRDefault="00C23E3F" w:rsidP="00C23E3F">
            <w:pPr>
              <w:widowControl/>
              <w:overflowPunct w:val="0"/>
              <w:autoSpaceDE w:val="0"/>
              <w:autoSpaceDN w:val="0"/>
              <w:adjustRightInd w:val="0"/>
              <w:ind w:left="1135"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w:t>
            </w:r>
            <w:r w:rsidRPr="000A233E">
              <w:rPr>
                <w:rFonts w:ascii="Times New Roman" w:eastAsia="Times New Roman" w:hAnsi="Times New Roman" w:cs="Times New Roman"/>
                <w:kern w:val="0"/>
                <w:sz w:val="20"/>
                <w:szCs w:val="20"/>
                <w:highlight w:val="yellow"/>
              </w:rPr>
              <w:tab/>
              <w:t xml:space="preserve">is smaller than or equal to the </w:t>
            </w:r>
            <w:r w:rsidRPr="000A233E">
              <w:rPr>
                <w:rFonts w:ascii="Times New Roman" w:eastAsia="Times New Roman" w:hAnsi="Times New Roman" w:cs="Times New Roman"/>
                <w:i/>
                <w:kern w:val="0"/>
                <w:sz w:val="20"/>
                <w:szCs w:val="20"/>
                <w:highlight w:val="yellow"/>
              </w:rPr>
              <w:t>carrierBandwidth</w:t>
            </w:r>
            <w:r w:rsidRPr="000A233E">
              <w:rPr>
                <w:rFonts w:ascii="Times New Roman" w:eastAsia="Times New Roman" w:hAnsi="Times New Roman" w:cs="Times New Roman"/>
                <w:kern w:val="0"/>
                <w:sz w:val="20"/>
                <w:szCs w:val="20"/>
                <w:highlight w:val="yellow"/>
              </w:rPr>
              <w:t xml:space="preserve"> (indicated in </w:t>
            </w:r>
            <w:r w:rsidRPr="000A233E">
              <w:rPr>
                <w:rFonts w:ascii="Times New Roman" w:eastAsia="Times New Roman" w:hAnsi="Times New Roman" w:cs="Times New Roman"/>
                <w:i/>
                <w:kern w:val="0"/>
                <w:sz w:val="20"/>
                <w:szCs w:val="20"/>
                <w:highlight w:val="yellow"/>
              </w:rPr>
              <w:t>uplinkConfigCommon</w:t>
            </w:r>
            <w:r w:rsidRPr="000A233E">
              <w:rPr>
                <w:rFonts w:ascii="Times New Roman" w:eastAsia="Times New Roman" w:hAnsi="Times New Roman" w:cs="Times New Roman"/>
                <w:kern w:val="0"/>
                <w:sz w:val="20"/>
                <w:szCs w:val="20"/>
                <w:highlight w:val="yellow"/>
              </w:rPr>
              <w:t xml:space="preserve"> for the SCS of the initial uplink BWP), and which</w:t>
            </w:r>
          </w:p>
          <w:p w:rsidR="00C23E3F" w:rsidRPr="000A233E" w:rsidRDefault="00C23E3F" w:rsidP="00C23E3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w:t>
            </w:r>
            <w:r w:rsidRPr="000A233E">
              <w:rPr>
                <w:rFonts w:ascii="Times New Roman" w:eastAsia="Times New Roman" w:hAnsi="Times New Roman" w:cs="Times New Roman"/>
                <w:kern w:val="0"/>
                <w:sz w:val="20"/>
                <w:szCs w:val="20"/>
                <w:highlight w:val="yellow"/>
              </w:rPr>
              <w:tab/>
              <w:t>is wider than or equal to the bandwidth of the initial uplink BWP, and</w:t>
            </w:r>
          </w:p>
          <w:p w:rsidR="00C23E3F" w:rsidRPr="000A233E" w:rsidRDefault="00C23E3F" w:rsidP="00C23E3F">
            <w:pPr>
              <w:widowControl/>
              <w:overflowPunct w:val="0"/>
              <w:autoSpaceDE w:val="0"/>
              <w:autoSpaceDN w:val="0"/>
              <w:adjustRightInd w:val="0"/>
              <w:ind w:left="851"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2&gt;</w:t>
            </w:r>
            <w:r w:rsidRPr="000A233E">
              <w:rPr>
                <w:rFonts w:ascii="Times New Roman" w:eastAsia="Times New Roman" w:hAnsi="Times New Roman" w:cs="Times New Roman"/>
                <w:kern w:val="0"/>
                <w:sz w:val="20"/>
                <w:szCs w:val="20"/>
                <w:highlight w:val="yellow"/>
              </w:rPr>
              <w:tab/>
              <w:t>if the UE supports a downlink channel bandwidth with a maximum transmission bandwidth configuration (see TS 38.101-1 [15] and TS 38.101-2 [39]) which</w:t>
            </w:r>
          </w:p>
          <w:p w:rsidR="00C23E3F" w:rsidRPr="000A233E" w:rsidRDefault="00C23E3F" w:rsidP="00C23E3F">
            <w:pPr>
              <w:widowControl/>
              <w:overflowPunct w:val="0"/>
              <w:autoSpaceDE w:val="0"/>
              <w:autoSpaceDN w:val="0"/>
              <w:adjustRightInd w:val="0"/>
              <w:ind w:left="1135"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w:t>
            </w:r>
            <w:r w:rsidRPr="000A233E">
              <w:rPr>
                <w:rFonts w:ascii="Times New Roman" w:eastAsia="Times New Roman" w:hAnsi="Times New Roman" w:cs="Times New Roman"/>
                <w:kern w:val="0"/>
                <w:sz w:val="20"/>
                <w:szCs w:val="20"/>
                <w:highlight w:val="yellow"/>
              </w:rPr>
              <w:tab/>
              <w:t xml:space="preserve">is smaller than or equal to the </w:t>
            </w:r>
            <w:r w:rsidRPr="000A233E">
              <w:rPr>
                <w:rFonts w:ascii="Times New Roman" w:eastAsia="Times New Roman" w:hAnsi="Times New Roman" w:cs="Times New Roman"/>
                <w:i/>
                <w:kern w:val="0"/>
                <w:sz w:val="20"/>
                <w:szCs w:val="20"/>
                <w:highlight w:val="yellow"/>
              </w:rPr>
              <w:t>carrierBandwidth</w:t>
            </w:r>
            <w:r w:rsidRPr="000A233E">
              <w:rPr>
                <w:rFonts w:ascii="Times New Roman" w:eastAsia="Times New Roman" w:hAnsi="Times New Roman" w:cs="Times New Roman"/>
                <w:kern w:val="0"/>
                <w:sz w:val="20"/>
                <w:szCs w:val="20"/>
                <w:highlight w:val="yellow"/>
              </w:rPr>
              <w:t xml:space="preserve"> (indicated in </w:t>
            </w:r>
            <w:r w:rsidRPr="000A233E">
              <w:rPr>
                <w:rFonts w:ascii="Times New Roman" w:eastAsia="Times New Roman" w:hAnsi="Times New Roman" w:cs="Times New Roman"/>
                <w:i/>
                <w:kern w:val="0"/>
                <w:sz w:val="20"/>
                <w:szCs w:val="20"/>
                <w:highlight w:val="yellow"/>
              </w:rPr>
              <w:t>downlinkConfigCommon</w:t>
            </w:r>
            <w:r w:rsidRPr="000A233E">
              <w:rPr>
                <w:rFonts w:ascii="Times New Roman" w:eastAsia="Times New Roman" w:hAnsi="Times New Roman" w:cs="Times New Roman"/>
                <w:kern w:val="0"/>
                <w:sz w:val="20"/>
                <w:szCs w:val="20"/>
                <w:highlight w:val="yellow"/>
              </w:rPr>
              <w:t xml:space="preserve"> for the SCS of the initial downlink BWP), and which</w:t>
            </w:r>
          </w:p>
          <w:p w:rsidR="00C23E3F" w:rsidRDefault="00C23E3F" w:rsidP="00C23E3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A233E">
              <w:rPr>
                <w:rFonts w:ascii="Times New Roman" w:eastAsia="Times New Roman" w:hAnsi="Times New Roman" w:cs="Times New Roman"/>
                <w:kern w:val="0"/>
                <w:sz w:val="20"/>
                <w:szCs w:val="20"/>
                <w:highlight w:val="yellow"/>
              </w:rPr>
              <w:t>-</w:t>
            </w:r>
            <w:r w:rsidRPr="000A233E">
              <w:rPr>
                <w:rFonts w:ascii="Times New Roman" w:eastAsia="Times New Roman" w:hAnsi="Times New Roman" w:cs="Times New Roman"/>
                <w:kern w:val="0"/>
                <w:sz w:val="20"/>
                <w:szCs w:val="20"/>
                <w:highlight w:val="yellow"/>
              </w:rPr>
              <w:tab/>
              <w:t>is wider than or equal to the bandwidth of the initial downlink BWP,</w:t>
            </w:r>
            <w:r w:rsidRPr="000A233E">
              <w:rPr>
                <w:rFonts w:ascii="Times New Roman" w:eastAsia="Times New Roman" w:hAnsi="Times New Roman" w:cs="Times New Roman"/>
                <w:kern w:val="0"/>
                <w:sz w:val="20"/>
                <w:szCs w:val="20"/>
              </w:rPr>
              <w:t xml:space="preserve"> and</w:t>
            </w:r>
          </w:p>
          <w:p w:rsidR="00C23E3F" w:rsidRPr="000A233E" w:rsidRDefault="00C23E3F" w:rsidP="00C23E3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rPr>
            </w:pPr>
            <w:r w:rsidRPr="000A233E">
              <w:rPr>
                <w:rFonts w:ascii="Times New Roman" w:eastAsia="Times New Roman" w:hAnsi="Times New Roman" w:cs="Times New Roman"/>
                <w:kern w:val="0"/>
                <w:sz w:val="20"/>
                <w:szCs w:val="20"/>
              </w:rPr>
              <w:t>2&gt;</w:t>
            </w:r>
            <w:r w:rsidRPr="000A233E">
              <w:rPr>
                <w:rFonts w:ascii="Times New Roman" w:eastAsia="Times New Roman" w:hAnsi="Times New Roman" w:cs="Times New Roman"/>
                <w:kern w:val="0"/>
                <w:sz w:val="20"/>
                <w:szCs w:val="20"/>
              </w:rPr>
              <w:tab/>
              <w:t xml:space="preserve">if </w:t>
            </w:r>
            <w:r w:rsidRPr="000A233E">
              <w:rPr>
                <w:rFonts w:ascii="Times New Roman" w:eastAsia="Times New Roman" w:hAnsi="Times New Roman" w:cs="Times New Roman"/>
                <w:i/>
                <w:iCs/>
                <w:kern w:val="0"/>
                <w:sz w:val="20"/>
                <w:szCs w:val="20"/>
              </w:rPr>
              <w:t>frequencyShift7p5khz</w:t>
            </w:r>
            <w:r w:rsidRPr="000A233E">
              <w:rPr>
                <w:rFonts w:ascii="Times New Roman" w:eastAsia="Times New Roman" w:hAnsi="Times New Roman" w:cs="Times New Roman"/>
                <w:kern w:val="0"/>
                <w:sz w:val="20"/>
                <w:szCs w:val="20"/>
              </w:rPr>
              <w:t xml:space="preserve"> is present and the UE supports corresponding 7.5kHz frequency shift on this band; or </w:t>
            </w:r>
            <w:r w:rsidRPr="000A233E">
              <w:rPr>
                <w:rFonts w:ascii="Times New Roman" w:eastAsia="Times New Roman" w:hAnsi="Times New Roman" w:cs="Times New Roman"/>
                <w:i/>
                <w:iCs/>
                <w:kern w:val="0"/>
                <w:sz w:val="20"/>
                <w:szCs w:val="20"/>
              </w:rPr>
              <w:t>frequencyShift7p5khz</w:t>
            </w:r>
            <w:r w:rsidRPr="000A233E">
              <w:rPr>
                <w:rFonts w:ascii="Times New Roman" w:eastAsia="Times New Roman" w:hAnsi="Times New Roman" w:cs="Times New Roman"/>
                <w:kern w:val="0"/>
                <w:sz w:val="20"/>
                <w:szCs w:val="20"/>
              </w:rPr>
              <w:t xml:space="preserve"> is not present:</w:t>
            </w:r>
          </w:p>
          <w:p w:rsidR="00C23E3F" w:rsidRPr="000A233E" w:rsidRDefault="00C23E3F" w:rsidP="00C23E3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rPr>
            </w:pPr>
            <w:r w:rsidRPr="000A233E">
              <w:rPr>
                <w:rFonts w:ascii="Times New Roman" w:eastAsia="Times New Roman" w:hAnsi="Times New Roman" w:cs="Times New Roman"/>
                <w:kern w:val="0"/>
                <w:sz w:val="20"/>
                <w:szCs w:val="20"/>
              </w:rPr>
              <w:t>3&gt;</w:t>
            </w:r>
            <w:r w:rsidRPr="000A233E">
              <w:rPr>
                <w:rFonts w:ascii="Times New Roman" w:eastAsia="Times New Roman" w:hAnsi="Times New Roman" w:cs="Times New Roman"/>
                <w:kern w:val="0"/>
                <w:sz w:val="20"/>
                <w:szCs w:val="20"/>
              </w:rPr>
              <w:tab/>
            </w:r>
            <w:r>
              <w:rPr>
                <w:rFonts w:ascii="Times New Roman" w:eastAsia="Times New Roman" w:hAnsi="Times New Roman" w:cs="Times New Roman"/>
                <w:kern w:val="0"/>
                <w:sz w:val="20"/>
                <w:szCs w:val="20"/>
              </w:rPr>
              <w:t>…</w:t>
            </w:r>
          </w:p>
          <w:p w:rsidR="00C23E3F" w:rsidRPr="000A233E" w:rsidRDefault="00C23E3F" w:rsidP="00C23E3F">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2&gt;</w:t>
            </w:r>
            <w:r w:rsidRPr="000A233E">
              <w:rPr>
                <w:rFonts w:ascii="Times New Roman" w:eastAsia="Times New Roman" w:hAnsi="Times New Roman" w:cs="Times New Roman"/>
                <w:kern w:val="0"/>
                <w:sz w:val="20"/>
                <w:szCs w:val="20"/>
                <w:highlight w:val="yellow"/>
              </w:rPr>
              <w:tab/>
              <w:t>else:</w:t>
            </w:r>
          </w:p>
          <w:p w:rsidR="00C23E3F" w:rsidRPr="000A233E" w:rsidRDefault="00C23E3F" w:rsidP="00C23E3F">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rPr>
            </w:pPr>
            <w:r w:rsidRPr="000A233E">
              <w:rPr>
                <w:rFonts w:ascii="Times New Roman" w:eastAsia="Times New Roman" w:hAnsi="Times New Roman" w:cs="Times New Roman"/>
                <w:kern w:val="0"/>
                <w:sz w:val="20"/>
                <w:szCs w:val="20"/>
                <w:highlight w:val="yellow"/>
              </w:rPr>
              <w:t>3&gt;</w:t>
            </w:r>
            <w:r w:rsidRPr="000A233E">
              <w:rPr>
                <w:rFonts w:ascii="Times New Roman" w:eastAsia="Times New Roman" w:hAnsi="Times New Roman" w:cs="Times New Roman"/>
                <w:kern w:val="0"/>
                <w:sz w:val="20"/>
                <w:szCs w:val="20"/>
                <w:highlight w:val="yellow"/>
              </w:rPr>
              <w:tab/>
              <w:t>consider the cell as barred in accordance with TS 38.304 [20]; and</w:t>
            </w:r>
          </w:p>
          <w:p w:rsidR="00C23E3F" w:rsidRPr="00C23E3F" w:rsidRDefault="00C23E3F" w:rsidP="00C23E3F">
            <w:pPr>
              <w:widowControl/>
              <w:overflowPunct w:val="0"/>
              <w:autoSpaceDE w:val="0"/>
              <w:autoSpaceDN w:val="0"/>
              <w:adjustRightInd w:val="0"/>
              <w:spacing w:after="180"/>
              <w:ind w:left="1135" w:hanging="284"/>
              <w:jc w:val="left"/>
              <w:textAlignment w:val="baseline"/>
              <w:rPr>
                <w:rFonts w:ascii="Times New Roman" w:hAnsi="Times New Roman" w:cs="Times New Roman"/>
                <w:kern w:val="0"/>
                <w:sz w:val="20"/>
                <w:szCs w:val="20"/>
              </w:rPr>
            </w:pPr>
            <w:r w:rsidRPr="000A233E">
              <w:rPr>
                <w:rFonts w:ascii="Times New Roman" w:eastAsia="Times New Roman" w:hAnsi="Times New Roman" w:cs="Times New Roman"/>
                <w:kern w:val="0"/>
                <w:sz w:val="20"/>
                <w:szCs w:val="20"/>
                <w:highlight w:val="yellow"/>
              </w:rPr>
              <w:t>3&gt;</w:t>
            </w:r>
            <w:r w:rsidRPr="000A233E">
              <w:rPr>
                <w:rFonts w:ascii="Times New Roman" w:eastAsia="Times New Roman" w:hAnsi="Times New Roman" w:cs="Times New Roman"/>
                <w:kern w:val="0"/>
                <w:sz w:val="20"/>
                <w:szCs w:val="20"/>
                <w:highlight w:val="yellow"/>
              </w:rPr>
              <w:tab/>
              <w:t xml:space="preserve">perform barring as if </w:t>
            </w:r>
            <w:r w:rsidRPr="000A233E">
              <w:rPr>
                <w:rFonts w:ascii="Times New Roman" w:eastAsia="Times New Roman" w:hAnsi="Times New Roman" w:cs="Times New Roman"/>
                <w:i/>
                <w:kern w:val="0"/>
                <w:sz w:val="20"/>
                <w:szCs w:val="20"/>
                <w:highlight w:val="yellow"/>
              </w:rPr>
              <w:t>intraFreqReselection</w:t>
            </w:r>
            <w:r w:rsidRPr="000A233E">
              <w:rPr>
                <w:rFonts w:ascii="Times New Roman" w:eastAsia="Times New Roman" w:hAnsi="Times New Roman" w:cs="Times New Roman"/>
                <w:kern w:val="0"/>
                <w:sz w:val="20"/>
                <w:szCs w:val="20"/>
                <w:highlight w:val="yellow"/>
              </w:rPr>
              <w:t xml:space="preserve"> is set to </w:t>
            </w:r>
            <w:r w:rsidRPr="000A233E">
              <w:rPr>
                <w:rFonts w:ascii="Times New Roman" w:eastAsia="Times New Roman" w:hAnsi="Times New Roman" w:cs="Times New Roman"/>
                <w:i/>
                <w:kern w:val="0"/>
                <w:sz w:val="20"/>
                <w:szCs w:val="20"/>
                <w:highlight w:val="yellow"/>
              </w:rPr>
              <w:t>notAllowed</w:t>
            </w:r>
            <w:r w:rsidRPr="000A233E">
              <w:rPr>
                <w:rFonts w:ascii="Times New Roman" w:eastAsia="Times New Roman" w:hAnsi="Times New Roman" w:cs="Times New Roman"/>
                <w:kern w:val="0"/>
                <w:sz w:val="20"/>
                <w:szCs w:val="20"/>
                <w:highlight w:val="yellow"/>
              </w:rPr>
              <w:t>;</w:t>
            </w:r>
          </w:p>
        </w:tc>
      </w:tr>
    </w:tbl>
    <w:p w:rsidR="00FA7A9D" w:rsidRDefault="00FA7A9D" w:rsidP="00C31FB2">
      <w:pPr>
        <w:widowControl/>
        <w:spacing w:after="120" w:line="240" w:lineRule="atLeast"/>
        <w:rPr>
          <w:rFonts w:ascii="Arial" w:hAnsi="Arial"/>
          <w:kern w:val="0"/>
          <w:sz w:val="20"/>
          <w:szCs w:val="20"/>
        </w:rPr>
      </w:pPr>
    </w:p>
    <w:p w:rsidR="00D93609" w:rsidRDefault="00502B56" w:rsidP="00C31FB2">
      <w:pPr>
        <w:widowControl/>
        <w:spacing w:after="120" w:line="240" w:lineRule="atLeast"/>
        <w:rPr>
          <w:rFonts w:ascii="Arial" w:hAnsi="Arial"/>
          <w:kern w:val="0"/>
          <w:sz w:val="20"/>
          <w:szCs w:val="20"/>
        </w:rPr>
      </w:pPr>
      <w:r>
        <w:rPr>
          <w:rFonts w:ascii="Arial" w:hAnsi="Arial" w:hint="eastAsia"/>
          <w:kern w:val="0"/>
          <w:sz w:val="20"/>
          <w:szCs w:val="20"/>
        </w:rPr>
        <w:t xml:space="preserve">If the initial BWP </w:t>
      </w:r>
      <w:r>
        <w:rPr>
          <w:rFonts w:ascii="Arial" w:hAnsi="Arial"/>
          <w:kern w:val="0"/>
          <w:sz w:val="20"/>
          <w:szCs w:val="20"/>
        </w:rPr>
        <w:t xml:space="preserve">is configured </w:t>
      </w:r>
      <w:r w:rsidR="003E61F2">
        <w:rPr>
          <w:rFonts w:ascii="Arial" w:hAnsi="Arial"/>
          <w:kern w:val="0"/>
          <w:sz w:val="20"/>
          <w:szCs w:val="20"/>
        </w:rPr>
        <w:t xml:space="preserve">so that </w:t>
      </w:r>
      <w:r>
        <w:rPr>
          <w:rFonts w:ascii="Arial" w:hAnsi="Arial"/>
          <w:kern w:val="0"/>
          <w:sz w:val="20"/>
          <w:szCs w:val="20"/>
        </w:rPr>
        <w:t>the RedCap UE</w:t>
      </w:r>
      <w:r w:rsidR="003E61F2">
        <w:rPr>
          <w:rFonts w:ascii="Arial" w:hAnsi="Arial"/>
          <w:kern w:val="0"/>
          <w:sz w:val="20"/>
          <w:szCs w:val="20"/>
        </w:rPr>
        <w:t xml:space="preserve">s can </w:t>
      </w:r>
      <w:r>
        <w:rPr>
          <w:rFonts w:ascii="Arial" w:hAnsi="Arial"/>
          <w:kern w:val="0"/>
          <w:sz w:val="20"/>
          <w:szCs w:val="20"/>
        </w:rPr>
        <w:t xml:space="preserve">camp on, </w:t>
      </w:r>
      <w:r w:rsidR="003E61F2">
        <w:rPr>
          <w:rFonts w:ascii="Arial" w:hAnsi="Arial"/>
          <w:kern w:val="0"/>
          <w:sz w:val="20"/>
          <w:szCs w:val="20"/>
        </w:rPr>
        <w:t>it should be equal to or smaller than 20 MHz (FR1) or 100 MHz (FR2).</w:t>
      </w:r>
      <w:r w:rsidR="002F7122">
        <w:rPr>
          <w:rFonts w:ascii="Arial" w:hAnsi="Arial"/>
          <w:kern w:val="0"/>
          <w:sz w:val="20"/>
          <w:szCs w:val="20"/>
        </w:rPr>
        <w:t xml:space="preserve"> If the network configures only such smaller bandwidth for initial BWP, then there might be no big problem. </w:t>
      </w:r>
      <w:r w:rsidR="00DC7920">
        <w:rPr>
          <w:rFonts w:ascii="Arial" w:hAnsi="Arial"/>
          <w:kern w:val="0"/>
          <w:sz w:val="20"/>
          <w:szCs w:val="20"/>
        </w:rPr>
        <w:t>However</w:t>
      </w:r>
      <w:r w:rsidR="002F7122">
        <w:rPr>
          <w:rFonts w:ascii="Arial" w:hAnsi="Arial"/>
          <w:kern w:val="0"/>
          <w:sz w:val="20"/>
          <w:szCs w:val="20"/>
        </w:rPr>
        <w:t>, the network lacks some flexibilities</w:t>
      </w:r>
      <w:r w:rsidR="00B771C8">
        <w:rPr>
          <w:rFonts w:ascii="Arial" w:hAnsi="Arial"/>
          <w:kern w:val="0"/>
          <w:sz w:val="20"/>
          <w:szCs w:val="20"/>
        </w:rPr>
        <w:t xml:space="preserve"> for wider BWP</w:t>
      </w:r>
      <w:r w:rsidR="00A078FE">
        <w:rPr>
          <w:rFonts w:ascii="Arial" w:hAnsi="Arial"/>
          <w:kern w:val="0"/>
          <w:sz w:val="20"/>
          <w:szCs w:val="20"/>
        </w:rPr>
        <w:t>.</w:t>
      </w:r>
      <w:r w:rsidR="00FD0E83">
        <w:rPr>
          <w:rFonts w:ascii="Arial" w:hAnsi="Arial"/>
          <w:kern w:val="0"/>
          <w:sz w:val="20"/>
          <w:szCs w:val="20"/>
        </w:rPr>
        <w:t xml:space="preserve"> Considering the radio resource utilization and many legacy UEs already in the field, the network should be able to configure </w:t>
      </w:r>
      <w:r w:rsidR="00306CD5">
        <w:rPr>
          <w:rFonts w:ascii="Arial" w:hAnsi="Arial"/>
          <w:kern w:val="0"/>
          <w:sz w:val="20"/>
          <w:szCs w:val="20"/>
        </w:rPr>
        <w:t xml:space="preserve">wider initial BWP and additionally configure a </w:t>
      </w:r>
      <w:r w:rsidR="00FD0E83">
        <w:rPr>
          <w:rFonts w:ascii="Arial" w:hAnsi="Arial"/>
          <w:kern w:val="0"/>
          <w:sz w:val="20"/>
          <w:szCs w:val="20"/>
        </w:rPr>
        <w:t>separate initial BWP for RedCap UEs.</w:t>
      </w:r>
    </w:p>
    <w:p w:rsidR="00376480" w:rsidRPr="009F7356" w:rsidRDefault="00BD0D1C" w:rsidP="00C31FB2">
      <w:pPr>
        <w:widowControl/>
        <w:spacing w:after="120" w:line="240" w:lineRule="atLeast"/>
        <w:rPr>
          <w:rFonts w:ascii="Arial" w:hAnsi="Arial"/>
          <w:i/>
          <w:kern w:val="0"/>
          <w:sz w:val="20"/>
          <w:szCs w:val="20"/>
        </w:rPr>
      </w:pPr>
      <w:r w:rsidRPr="009F7356">
        <w:rPr>
          <w:rFonts w:ascii="Arial" w:hAnsi="Arial"/>
          <w:i/>
          <w:kern w:val="0"/>
          <w:sz w:val="20"/>
          <w:szCs w:val="20"/>
        </w:rPr>
        <w:t xml:space="preserve">Observation 1. </w:t>
      </w:r>
      <w:r>
        <w:rPr>
          <w:rFonts w:ascii="Arial" w:hAnsi="Arial"/>
          <w:i/>
          <w:kern w:val="0"/>
          <w:sz w:val="20"/>
          <w:szCs w:val="20"/>
        </w:rPr>
        <w:t xml:space="preserve">From RAN2 point of view, separate initial BWP </w:t>
      </w:r>
      <w:r w:rsidR="00FA0767">
        <w:rPr>
          <w:rFonts w:ascii="Arial" w:hAnsi="Arial"/>
          <w:i/>
          <w:kern w:val="0"/>
          <w:sz w:val="20"/>
          <w:szCs w:val="20"/>
        </w:rPr>
        <w:t>should be supported in order not to restrict on configuring the initial BWP currently available in the field.</w:t>
      </w:r>
    </w:p>
    <w:p w:rsidR="00BD0D1C" w:rsidRDefault="00BD0D1C" w:rsidP="00C31FB2">
      <w:pPr>
        <w:widowControl/>
        <w:spacing w:after="120" w:line="240" w:lineRule="atLeast"/>
        <w:rPr>
          <w:rFonts w:ascii="Arial" w:hAnsi="Arial"/>
          <w:kern w:val="0"/>
          <w:sz w:val="20"/>
          <w:szCs w:val="20"/>
        </w:rPr>
      </w:pPr>
    </w:p>
    <w:p w:rsidR="00402F69" w:rsidRDefault="00123109" w:rsidP="00C31FB2">
      <w:pPr>
        <w:widowControl/>
        <w:spacing w:after="120" w:line="240" w:lineRule="atLeast"/>
        <w:rPr>
          <w:rFonts w:ascii="Arial" w:hAnsi="Arial"/>
          <w:kern w:val="0"/>
          <w:sz w:val="20"/>
          <w:szCs w:val="20"/>
        </w:rPr>
      </w:pPr>
      <w:r>
        <w:rPr>
          <w:rFonts w:ascii="Arial" w:hAnsi="Arial" w:hint="eastAsia"/>
          <w:kern w:val="0"/>
          <w:sz w:val="20"/>
          <w:szCs w:val="20"/>
        </w:rPr>
        <w:t xml:space="preserve">One clarification is that even if the initial BWP specific </w:t>
      </w:r>
      <w:r>
        <w:rPr>
          <w:rFonts w:ascii="Arial" w:hAnsi="Arial"/>
          <w:kern w:val="0"/>
          <w:sz w:val="20"/>
          <w:szCs w:val="20"/>
        </w:rPr>
        <w:t xml:space="preserve">to RedCap UEs in the specification, it is not necessarily to configure it always when the cell supports the RedCap UEs. For example, </w:t>
      </w:r>
      <w:r w:rsidR="005951B6">
        <w:rPr>
          <w:rFonts w:ascii="Arial" w:hAnsi="Arial"/>
          <w:kern w:val="0"/>
          <w:sz w:val="20"/>
          <w:szCs w:val="20"/>
        </w:rPr>
        <w:t>if the legacy initial BWP bandwidth is equal to or smaller than that the RedCap UE can support, there will be no need to configure/broadcast the separate initial BWP for RedCap</w:t>
      </w:r>
      <w:r w:rsidR="00E7754A">
        <w:rPr>
          <w:rFonts w:ascii="Arial" w:hAnsi="Arial"/>
          <w:kern w:val="0"/>
          <w:sz w:val="20"/>
          <w:szCs w:val="20"/>
        </w:rPr>
        <w:t xml:space="preserve"> as shown in the example in Fig.1</w:t>
      </w:r>
      <w:r w:rsidR="005951B6">
        <w:rPr>
          <w:rFonts w:ascii="Arial" w:hAnsi="Arial"/>
          <w:kern w:val="0"/>
          <w:sz w:val="20"/>
          <w:szCs w:val="20"/>
        </w:rPr>
        <w:t>.</w:t>
      </w:r>
      <w:r w:rsidR="00F81592">
        <w:rPr>
          <w:rFonts w:ascii="Arial" w:hAnsi="Arial"/>
          <w:kern w:val="0"/>
          <w:sz w:val="20"/>
          <w:szCs w:val="20"/>
        </w:rPr>
        <w:t xml:space="preserve"> Note that if the support of RedCap in a cell is detected based on the presence of the initial BWP for RedCap UEs, it has to be always present. This is FFS.</w:t>
      </w:r>
    </w:p>
    <w:p w:rsidR="00123109" w:rsidRPr="009F7356" w:rsidRDefault="00F82F18" w:rsidP="00C31FB2">
      <w:pPr>
        <w:widowControl/>
        <w:spacing w:after="120" w:line="240" w:lineRule="atLeast"/>
        <w:rPr>
          <w:rFonts w:ascii="Arial" w:hAnsi="Arial"/>
          <w:i/>
          <w:kern w:val="0"/>
          <w:sz w:val="20"/>
          <w:szCs w:val="20"/>
        </w:rPr>
      </w:pPr>
      <w:r w:rsidRPr="009F7356">
        <w:rPr>
          <w:rFonts w:ascii="Arial" w:hAnsi="Arial"/>
          <w:i/>
          <w:kern w:val="0"/>
          <w:sz w:val="20"/>
          <w:szCs w:val="20"/>
        </w:rPr>
        <w:t>Observation 2. Introducing separate initial BWP for RedCap does not necessarily mean it has to be always present when a cell support the RedCap. This is depending on how the cell indicates support of RedCap.</w:t>
      </w:r>
    </w:p>
    <w:p w:rsidR="00F82F18" w:rsidRDefault="00F82F18" w:rsidP="00C31FB2">
      <w:pPr>
        <w:widowControl/>
        <w:spacing w:after="120" w:line="240" w:lineRule="atLeast"/>
        <w:rPr>
          <w:rFonts w:ascii="Arial" w:hAnsi="Arial"/>
          <w:kern w:val="0"/>
          <w:sz w:val="20"/>
          <w:szCs w:val="20"/>
        </w:rPr>
      </w:pPr>
    </w:p>
    <w:p w:rsidR="00376480" w:rsidRDefault="00402F69" w:rsidP="009F7356">
      <w:pPr>
        <w:widowControl/>
        <w:spacing w:after="120" w:line="240" w:lineRule="atLeast"/>
        <w:jc w:val="center"/>
        <w:rPr>
          <w:rFonts w:ascii="Arial" w:hAnsi="Arial"/>
          <w:kern w:val="0"/>
          <w:sz w:val="20"/>
          <w:szCs w:val="20"/>
        </w:rPr>
      </w:pPr>
      <w:r w:rsidRPr="00402F69">
        <w:rPr>
          <w:noProof/>
          <w:lang w:val="en-US"/>
        </w:rPr>
        <w:drawing>
          <wp:inline distT="0" distB="0" distL="0" distR="0">
            <wp:extent cx="2832433" cy="2846056"/>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49940" cy="2863647"/>
                    </a:xfrm>
                    <a:prstGeom prst="rect">
                      <a:avLst/>
                    </a:prstGeom>
                    <a:noFill/>
                    <a:ln>
                      <a:noFill/>
                    </a:ln>
                  </pic:spPr>
                </pic:pic>
              </a:graphicData>
            </a:graphic>
          </wp:inline>
        </w:drawing>
      </w:r>
    </w:p>
    <w:p w:rsidR="009A4579" w:rsidRPr="009F7356" w:rsidRDefault="00402F69" w:rsidP="009F7356">
      <w:pPr>
        <w:widowControl/>
        <w:spacing w:after="120" w:line="240" w:lineRule="atLeast"/>
        <w:jc w:val="center"/>
        <w:rPr>
          <w:rFonts w:ascii="Arial" w:hAnsi="Arial"/>
          <w:b/>
          <w:kern w:val="0"/>
          <w:sz w:val="20"/>
          <w:szCs w:val="20"/>
        </w:rPr>
      </w:pPr>
      <w:r w:rsidRPr="009F7356">
        <w:rPr>
          <w:rFonts w:ascii="Arial" w:hAnsi="Arial"/>
          <w:b/>
          <w:kern w:val="0"/>
          <w:sz w:val="20"/>
          <w:szCs w:val="20"/>
        </w:rPr>
        <w:t>Fig.1: Example flow for RedCap UE to decide whether to camp on a cell</w:t>
      </w:r>
    </w:p>
    <w:p w:rsidR="009A4579" w:rsidRDefault="009A4579" w:rsidP="00C31FB2">
      <w:pPr>
        <w:widowControl/>
        <w:spacing w:after="120" w:line="240" w:lineRule="atLeast"/>
        <w:rPr>
          <w:rFonts w:ascii="Arial" w:hAnsi="Arial"/>
          <w:kern w:val="0"/>
          <w:sz w:val="20"/>
          <w:szCs w:val="20"/>
        </w:rPr>
      </w:pPr>
    </w:p>
    <w:p w:rsidR="00346231" w:rsidRDefault="002C4BF0" w:rsidP="00C31FB2">
      <w:pPr>
        <w:widowControl/>
        <w:spacing w:after="120" w:line="240" w:lineRule="atLeast"/>
        <w:rPr>
          <w:rFonts w:ascii="Arial" w:hAnsi="Arial"/>
          <w:kern w:val="0"/>
          <w:sz w:val="20"/>
          <w:szCs w:val="20"/>
        </w:rPr>
      </w:pPr>
      <w:r>
        <w:rPr>
          <w:rFonts w:ascii="Arial" w:hAnsi="Arial" w:hint="eastAsia"/>
          <w:kern w:val="0"/>
          <w:sz w:val="20"/>
          <w:szCs w:val="20"/>
        </w:rPr>
        <w:t xml:space="preserve">Finally, </w:t>
      </w:r>
      <w:r w:rsidR="002D7199">
        <w:rPr>
          <w:rFonts w:ascii="Arial" w:hAnsi="Arial"/>
          <w:kern w:val="0"/>
          <w:sz w:val="20"/>
          <w:szCs w:val="20"/>
        </w:rPr>
        <w:t xml:space="preserve">although </w:t>
      </w:r>
      <w:r>
        <w:rPr>
          <w:rFonts w:ascii="Arial" w:hAnsi="Arial"/>
          <w:kern w:val="0"/>
          <w:sz w:val="20"/>
          <w:szCs w:val="20"/>
        </w:rPr>
        <w:t xml:space="preserve">the </w:t>
      </w:r>
      <w:r>
        <w:rPr>
          <w:rFonts w:ascii="Arial" w:hAnsi="Arial" w:hint="eastAsia"/>
          <w:kern w:val="0"/>
          <w:sz w:val="20"/>
          <w:szCs w:val="20"/>
        </w:rPr>
        <w:t>LS [</w:t>
      </w:r>
      <w:r>
        <w:rPr>
          <w:rFonts w:ascii="Arial" w:hAnsi="Arial"/>
          <w:kern w:val="0"/>
          <w:sz w:val="20"/>
          <w:szCs w:val="20"/>
        </w:rPr>
        <w:t>1</w:t>
      </w:r>
      <w:r>
        <w:rPr>
          <w:rFonts w:ascii="Arial" w:hAnsi="Arial" w:hint="eastAsia"/>
          <w:kern w:val="0"/>
          <w:sz w:val="20"/>
          <w:szCs w:val="20"/>
        </w:rPr>
        <w:t>]</w:t>
      </w:r>
      <w:r w:rsidR="002D7199">
        <w:rPr>
          <w:rFonts w:ascii="Arial" w:hAnsi="Arial"/>
          <w:kern w:val="0"/>
          <w:sz w:val="20"/>
          <w:szCs w:val="20"/>
        </w:rPr>
        <w:t xml:space="preserve"> does not include</w:t>
      </w:r>
      <w:r>
        <w:rPr>
          <w:rFonts w:ascii="Arial" w:hAnsi="Arial" w:hint="eastAsia"/>
          <w:kern w:val="0"/>
          <w:sz w:val="20"/>
          <w:szCs w:val="20"/>
        </w:rPr>
        <w:t xml:space="preserve">, </w:t>
      </w:r>
      <w:r>
        <w:rPr>
          <w:rFonts w:ascii="Arial" w:hAnsi="Arial"/>
          <w:kern w:val="0"/>
          <w:sz w:val="20"/>
          <w:szCs w:val="20"/>
        </w:rPr>
        <w:t>RAN1 made the su</w:t>
      </w:r>
      <w:r w:rsidR="00F803A1">
        <w:rPr>
          <w:rFonts w:ascii="Arial" w:hAnsi="Arial"/>
          <w:kern w:val="0"/>
          <w:sz w:val="20"/>
          <w:szCs w:val="20"/>
        </w:rPr>
        <w:t>mmary</w:t>
      </w:r>
      <w:r w:rsidR="002D7199">
        <w:rPr>
          <w:rFonts w:ascii="Arial" w:hAnsi="Arial"/>
          <w:kern w:val="0"/>
          <w:sz w:val="20"/>
          <w:szCs w:val="20"/>
        </w:rPr>
        <w:t xml:space="preserve"> document</w:t>
      </w:r>
      <w:r w:rsidR="00F803A1">
        <w:rPr>
          <w:rFonts w:ascii="Arial" w:hAnsi="Arial"/>
          <w:kern w:val="0"/>
          <w:sz w:val="20"/>
          <w:szCs w:val="20"/>
        </w:rPr>
        <w:t xml:space="preserve"> </w:t>
      </w:r>
      <w:r w:rsidR="002D7199">
        <w:rPr>
          <w:rFonts w:ascii="Arial" w:hAnsi="Arial"/>
          <w:kern w:val="0"/>
          <w:sz w:val="20"/>
          <w:szCs w:val="20"/>
        </w:rPr>
        <w:t>for RedCap</w:t>
      </w:r>
      <w:r w:rsidR="00F803A1">
        <w:rPr>
          <w:rFonts w:ascii="Arial" w:hAnsi="Arial"/>
          <w:kern w:val="0"/>
          <w:sz w:val="20"/>
          <w:szCs w:val="20"/>
        </w:rPr>
        <w:t xml:space="preserve"> agreemen</w:t>
      </w:r>
      <w:r w:rsidR="002D7199">
        <w:rPr>
          <w:rFonts w:ascii="Arial" w:hAnsi="Arial"/>
          <w:kern w:val="0"/>
          <w:sz w:val="20"/>
          <w:szCs w:val="20"/>
        </w:rPr>
        <w:t>ts [3]</w:t>
      </w:r>
      <w:r>
        <w:rPr>
          <w:rFonts w:ascii="Arial" w:hAnsi="Arial"/>
          <w:kern w:val="0"/>
          <w:sz w:val="20"/>
          <w:szCs w:val="20"/>
        </w:rPr>
        <w:t xml:space="preserve">, where more positive direction is captured for </w:t>
      </w:r>
      <w:r w:rsidR="00F803A1">
        <w:rPr>
          <w:rFonts w:ascii="Arial" w:hAnsi="Arial"/>
          <w:kern w:val="0"/>
          <w:sz w:val="20"/>
          <w:szCs w:val="20"/>
        </w:rPr>
        <w:t xml:space="preserve">supporting </w:t>
      </w:r>
      <w:r>
        <w:rPr>
          <w:rFonts w:ascii="Arial" w:hAnsi="Arial"/>
          <w:kern w:val="0"/>
          <w:sz w:val="20"/>
          <w:szCs w:val="20"/>
        </w:rPr>
        <w:t>separate initial uplink BWP</w:t>
      </w:r>
      <w:r w:rsidR="00F803A1">
        <w:rPr>
          <w:rFonts w:ascii="Arial" w:hAnsi="Arial"/>
          <w:kern w:val="0"/>
          <w:sz w:val="20"/>
          <w:szCs w:val="20"/>
        </w:rPr>
        <w:t>, e.g. as follows (and shown in Annex)</w:t>
      </w:r>
      <w:r w:rsidR="00906201">
        <w:rPr>
          <w:rFonts w:ascii="Arial" w:hAnsi="Arial"/>
          <w:kern w:val="0"/>
          <w:sz w:val="20"/>
          <w:szCs w:val="20"/>
        </w:rPr>
        <w:t>:</w:t>
      </w:r>
    </w:p>
    <w:tbl>
      <w:tblPr>
        <w:tblStyle w:val="a8"/>
        <w:tblW w:w="0" w:type="auto"/>
        <w:tblLook w:val="04A0" w:firstRow="1" w:lastRow="0" w:firstColumn="1" w:lastColumn="0" w:noHBand="0" w:noVBand="1"/>
      </w:tblPr>
      <w:tblGrid>
        <w:gridCol w:w="9629"/>
      </w:tblGrid>
      <w:tr w:rsidR="002D7199" w:rsidTr="002D7199">
        <w:tc>
          <w:tcPr>
            <w:tcW w:w="9629" w:type="dxa"/>
          </w:tcPr>
          <w:p w:rsidR="002D7199" w:rsidRPr="002D7199" w:rsidRDefault="002D7199" w:rsidP="002D7199">
            <w:pPr>
              <w:widowControl/>
              <w:jc w:val="left"/>
              <w:rPr>
                <w:rFonts w:ascii="Times" w:eastAsia="Batang" w:hAnsi="Times" w:cs="Times New Roman"/>
                <w:kern w:val="0"/>
                <w:sz w:val="20"/>
                <w:szCs w:val="24"/>
                <w:lang w:eastAsia="en-US"/>
              </w:rPr>
            </w:pPr>
            <w:r w:rsidRPr="002D7199">
              <w:rPr>
                <w:rFonts w:ascii="Times" w:eastAsia="Batang" w:hAnsi="Times" w:cs="Times New Roman"/>
                <w:kern w:val="0"/>
                <w:sz w:val="20"/>
                <w:szCs w:val="24"/>
                <w:highlight w:val="green"/>
                <w:lang w:eastAsia="en-US"/>
              </w:rPr>
              <w:t>Agreements:</w:t>
            </w:r>
          </w:p>
          <w:p w:rsidR="002D7199" w:rsidRPr="002D7199" w:rsidRDefault="002D7199" w:rsidP="002D7199">
            <w:pPr>
              <w:widowControl/>
              <w:numPr>
                <w:ilvl w:val="0"/>
                <w:numId w:val="4"/>
              </w:numPr>
              <w:spacing w:line="252" w:lineRule="auto"/>
              <w:jc w:val="left"/>
              <w:rPr>
                <w:rFonts w:ascii="Times" w:eastAsia="Times New Roman" w:hAnsi="Times" w:cs="Times"/>
                <w:kern w:val="0"/>
                <w:sz w:val="20"/>
                <w:szCs w:val="20"/>
              </w:rPr>
            </w:pPr>
            <w:r w:rsidRPr="002D7199">
              <w:rPr>
                <w:rFonts w:ascii="Times" w:eastAsia="Times New Roman" w:hAnsi="Times" w:cs="Times"/>
                <w:kern w:val="0"/>
                <w:sz w:val="20"/>
                <w:szCs w:val="20"/>
              </w:rPr>
              <w:t>Both during and after initial access, the scenario where the initial UL BWP for non-RedCap UEs is configured to be wider than the maximum RedCap UE bandwidth is allowed.</w:t>
            </w:r>
          </w:p>
          <w:p w:rsidR="002D7199" w:rsidRPr="002D7199" w:rsidRDefault="002D7199" w:rsidP="002D7199">
            <w:pPr>
              <w:widowControl/>
              <w:numPr>
                <w:ilvl w:val="0"/>
                <w:numId w:val="4"/>
              </w:numPr>
              <w:spacing w:line="252" w:lineRule="auto"/>
              <w:jc w:val="left"/>
              <w:rPr>
                <w:rFonts w:ascii="Times" w:eastAsia="Times New Roman" w:hAnsi="Times" w:cs="Times"/>
                <w:kern w:val="0"/>
                <w:sz w:val="20"/>
                <w:szCs w:val="20"/>
              </w:rPr>
            </w:pPr>
            <w:r w:rsidRPr="002D7199">
              <w:rPr>
                <w:rFonts w:ascii="Times" w:eastAsia="Times New Roman" w:hAnsi="Times" w:cs="Times"/>
                <w:kern w:val="0"/>
                <w:sz w:val="20"/>
                <w:szCs w:val="20"/>
                <w:highlight w:val="darkYellow"/>
              </w:rPr>
              <w:t>Working assumption:</w:t>
            </w:r>
            <w:r w:rsidRPr="002D7199">
              <w:rPr>
                <w:rFonts w:ascii="Times" w:eastAsia="Times New Roman" w:hAnsi="Times" w:cs="Times"/>
                <w:kern w:val="0"/>
                <w:sz w:val="20"/>
                <w:szCs w:val="20"/>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rsidR="002D7199" w:rsidRPr="002D7199" w:rsidRDefault="002D7199" w:rsidP="002D7199">
            <w:pPr>
              <w:widowControl/>
              <w:numPr>
                <w:ilvl w:val="1"/>
                <w:numId w:val="4"/>
              </w:numPr>
              <w:spacing w:line="252" w:lineRule="auto"/>
              <w:jc w:val="left"/>
              <w:rPr>
                <w:rFonts w:ascii="Times" w:eastAsia="Times New Roman" w:hAnsi="Times" w:cs="Times"/>
                <w:kern w:val="0"/>
                <w:sz w:val="20"/>
                <w:szCs w:val="20"/>
              </w:rPr>
            </w:pPr>
            <w:r w:rsidRPr="002D7199">
              <w:rPr>
                <w:rFonts w:ascii="Times" w:eastAsia="Times New Roman" w:hAnsi="Times" w:cs="Times"/>
                <w:kern w:val="0"/>
                <w:sz w:val="20"/>
                <w:szCs w:val="20"/>
              </w:rPr>
              <w:t>FFS: whether/how to avoid or minimize PUSCH resource fragmentation due to PUCCH transmission for the above case</w:t>
            </w:r>
          </w:p>
          <w:p w:rsidR="002D7199" w:rsidRPr="002D7199" w:rsidRDefault="002D7199" w:rsidP="002D7199">
            <w:pPr>
              <w:widowControl/>
              <w:numPr>
                <w:ilvl w:val="1"/>
                <w:numId w:val="4"/>
              </w:numPr>
              <w:spacing w:line="252" w:lineRule="auto"/>
              <w:jc w:val="left"/>
              <w:rPr>
                <w:rFonts w:ascii="Times" w:eastAsia="Times New Roman" w:hAnsi="Times" w:cs="Times"/>
                <w:kern w:val="0"/>
                <w:sz w:val="20"/>
                <w:szCs w:val="20"/>
              </w:rPr>
            </w:pPr>
            <w:r w:rsidRPr="002D7199">
              <w:rPr>
                <w:rFonts w:ascii="Times" w:eastAsia="Times New Roman" w:hAnsi="Times" w:cs="Times"/>
                <w:kern w:val="0"/>
                <w:sz w:val="20"/>
                <w:szCs w:val="20"/>
              </w:rPr>
              <w:t xml:space="preserve">Support the case when the centre frequency is assumed to be the same for the initial DL and UL BWPs in TDD. </w:t>
            </w:r>
          </w:p>
          <w:p w:rsidR="002D7199" w:rsidRPr="009F7356" w:rsidRDefault="002D7199" w:rsidP="009F7356">
            <w:pPr>
              <w:widowControl/>
              <w:numPr>
                <w:ilvl w:val="2"/>
                <w:numId w:val="4"/>
              </w:numPr>
              <w:spacing w:line="252" w:lineRule="auto"/>
              <w:jc w:val="left"/>
              <w:rPr>
                <w:rFonts w:ascii="Times" w:eastAsia="Times New Roman" w:hAnsi="Times" w:cs="Times"/>
                <w:kern w:val="0"/>
                <w:sz w:val="20"/>
                <w:szCs w:val="20"/>
              </w:rPr>
            </w:pPr>
            <w:r w:rsidRPr="002D7199">
              <w:rPr>
                <w:rFonts w:ascii="Times" w:eastAsia="Times New Roman" w:hAnsi="Times" w:cs="Times"/>
                <w:kern w:val="0"/>
                <w:sz w:val="20"/>
                <w:szCs w:val="20"/>
              </w:rPr>
              <w:t xml:space="preserve">FFS whether or not to additionally support the case when the centre frequency is different; if so, how to minimize centre frequency retuning  </w:t>
            </w:r>
          </w:p>
        </w:tc>
      </w:tr>
    </w:tbl>
    <w:p w:rsidR="002C4BF0" w:rsidRDefault="002C4BF0" w:rsidP="00C31FB2">
      <w:pPr>
        <w:widowControl/>
        <w:spacing w:after="120" w:line="240" w:lineRule="atLeast"/>
        <w:rPr>
          <w:rFonts w:ascii="Arial" w:hAnsi="Arial"/>
          <w:kern w:val="0"/>
          <w:sz w:val="20"/>
          <w:szCs w:val="20"/>
        </w:rPr>
      </w:pPr>
    </w:p>
    <w:p w:rsidR="00190B7D" w:rsidRDefault="00E4482F" w:rsidP="00C31FB2">
      <w:pPr>
        <w:widowControl/>
        <w:spacing w:after="120" w:line="240" w:lineRule="atLeast"/>
        <w:rPr>
          <w:rFonts w:ascii="Arial" w:hAnsi="Arial"/>
          <w:kern w:val="0"/>
          <w:sz w:val="20"/>
          <w:szCs w:val="20"/>
        </w:rPr>
      </w:pPr>
      <w:r>
        <w:rPr>
          <w:rFonts w:ascii="Arial" w:hAnsi="Arial" w:hint="eastAsia"/>
          <w:kern w:val="0"/>
          <w:sz w:val="20"/>
          <w:szCs w:val="20"/>
        </w:rPr>
        <w:lastRenderedPageBreak/>
        <w:t>Ba</w:t>
      </w:r>
      <w:r>
        <w:rPr>
          <w:rFonts w:ascii="Arial" w:hAnsi="Arial"/>
          <w:kern w:val="0"/>
          <w:sz w:val="20"/>
          <w:szCs w:val="20"/>
        </w:rPr>
        <w:t xml:space="preserve">sed on the discussions, observations and RAN1 latest status, we propose to discuss the separate initial BWP for RedCap from RAN2 point of view in this meeting, which may be after/waiting </w:t>
      </w:r>
      <w:r w:rsidR="008C06DA">
        <w:rPr>
          <w:rFonts w:ascii="Arial" w:hAnsi="Arial"/>
          <w:kern w:val="0"/>
          <w:sz w:val="20"/>
          <w:szCs w:val="20"/>
        </w:rPr>
        <w:t xml:space="preserve">for </w:t>
      </w:r>
      <w:r>
        <w:rPr>
          <w:rFonts w:ascii="Arial" w:hAnsi="Arial"/>
          <w:kern w:val="0"/>
          <w:sz w:val="20"/>
          <w:szCs w:val="20"/>
        </w:rPr>
        <w:t>another LS from RAN1</w:t>
      </w:r>
      <w:r w:rsidR="00765069">
        <w:rPr>
          <w:rFonts w:ascii="Arial" w:hAnsi="Arial"/>
          <w:kern w:val="0"/>
          <w:sz w:val="20"/>
          <w:szCs w:val="20"/>
        </w:rPr>
        <w:t xml:space="preserve"> firstly</w:t>
      </w:r>
      <w:r>
        <w:rPr>
          <w:rFonts w:ascii="Arial" w:hAnsi="Arial"/>
          <w:kern w:val="0"/>
          <w:sz w:val="20"/>
          <w:szCs w:val="20"/>
        </w:rPr>
        <w:t>.</w:t>
      </w:r>
    </w:p>
    <w:p w:rsidR="00346231" w:rsidRDefault="00346231" w:rsidP="00C31FB2">
      <w:pPr>
        <w:widowControl/>
        <w:spacing w:after="120" w:line="240" w:lineRule="atLeast"/>
        <w:rPr>
          <w:rFonts w:ascii="Arial" w:hAnsi="Arial"/>
          <w:kern w:val="0"/>
          <w:sz w:val="20"/>
          <w:szCs w:val="20"/>
        </w:rPr>
      </w:pPr>
    </w:p>
    <w:p w:rsidR="003E16F6" w:rsidRDefault="00A67322" w:rsidP="00A1213B">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sidR="00D93609">
        <w:rPr>
          <w:rFonts w:ascii="Arial" w:hAnsi="Arial"/>
          <w:b/>
          <w:kern w:val="0"/>
          <w:sz w:val="20"/>
          <w:szCs w:val="20"/>
        </w:rPr>
        <w:t>RAN2 to discuss a possibility of introducing initial BWP specific to RedCap UEs.</w:t>
      </w:r>
    </w:p>
    <w:p w:rsidR="00747C29" w:rsidRPr="002C6C08" w:rsidRDefault="00747C29" w:rsidP="00A1213B">
      <w:pPr>
        <w:widowControl/>
        <w:spacing w:before="60"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AC3017">
        <w:rPr>
          <w:rFonts w:ascii="Arial" w:eastAsia="Arial Unicode MS" w:hAnsi="Arial"/>
          <w:kern w:val="0"/>
          <w:sz w:val="20"/>
          <w:szCs w:val="20"/>
        </w:rPr>
        <w:t xml:space="preserve">the initial BWP for RedCap UEs and made </w:t>
      </w:r>
      <w:r w:rsidR="00F532D1">
        <w:rPr>
          <w:rFonts w:ascii="Arial" w:eastAsia="Arial Unicode MS" w:hAnsi="Arial"/>
          <w:kern w:val="0"/>
          <w:sz w:val="20"/>
          <w:szCs w:val="20"/>
        </w:rPr>
        <w:t xml:space="preserve">observations and </w:t>
      </w:r>
      <w:r w:rsidR="00AC3017">
        <w:rPr>
          <w:rFonts w:ascii="Arial" w:eastAsia="Arial Unicode MS" w:hAnsi="Arial"/>
          <w:kern w:val="0"/>
          <w:sz w:val="20"/>
          <w:szCs w:val="20"/>
        </w:rPr>
        <w:t>one proposal.</w:t>
      </w:r>
    </w:p>
    <w:p w:rsidR="003E16F6" w:rsidRDefault="003E16F6" w:rsidP="003E16F6">
      <w:pPr>
        <w:widowControl/>
        <w:spacing w:line="240" w:lineRule="atLeast"/>
        <w:rPr>
          <w:rFonts w:ascii="Arial" w:eastAsia="Arial Unicode MS" w:hAnsi="Arial"/>
          <w:kern w:val="0"/>
          <w:sz w:val="20"/>
          <w:szCs w:val="20"/>
        </w:rPr>
      </w:pPr>
    </w:p>
    <w:p w:rsidR="00186F8A" w:rsidRPr="009F7356" w:rsidRDefault="00186F8A" w:rsidP="00186F8A">
      <w:pPr>
        <w:widowControl/>
        <w:spacing w:after="120" w:line="240" w:lineRule="atLeast"/>
        <w:rPr>
          <w:rFonts w:ascii="Arial" w:hAnsi="Arial"/>
          <w:i/>
          <w:kern w:val="0"/>
          <w:sz w:val="20"/>
          <w:szCs w:val="20"/>
        </w:rPr>
      </w:pPr>
      <w:r w:rsidRPr="009F7356">
        <w:rPr>
          <w:rFonts w:ascii="Arial" w:hAnsi="Arial"/>
          <w:i/>
          <w:kern w:val="0"/>
          <w:sz w:val="20"/>
          <w:szCs w:val="20"/>
        </w:rPr>
        <w:t xml:space="preserve">Observation 1. </w:t>
      </w:r>
      <w:r>
        <w:rPr>
          <w:rFonts w:ascii="Arial" w:hAnsi="Arial"/>
          <w:i/>
          <w:kern w:val="0"/>
          <w:sz w:val="20"/>
          <w:szCs w:val="20"/>
        </w:rPr>
        <w:t>From RAN2 point of view, separate initial BWP should be supported in order not to restrict on configuring the initial BWP currently available in the field.</w:t>
      </w:r>
    </w:p>
    <w:p w:rsidR="00186F8A" w:rsidRPr="009F7356" w:rsidRDefault="00186F8A" w:rsidP="00186F8A">
      <w:pPr>
        <w:widowControl/>
        <w:spacing w:after="120" w:line="240" w:lineRule="atLeast"/>
        <w:rPr>
          <w:rFonts w:ascii="Arial" w:hAnsi="Arial"/>
          <w:i/>
          <w:kern w:val="0"/>
          <w:sz w:val="20"/>
          <w:szCs w:val="20"/>
        </w:rPr>
      </w:pPr>
      <w:r w:rsidRPr="009F7356">
        <w:rPr>
          <w:rFonts w:ascii="Arial" w:hAnsi="Arial"/>
          <w:i/>
          <w:kern w:val="0"/>
          <w:sz w:val="20"/>
          <w:szCs w:val="20"/>
        </w:rPr>
        <w:t>Observation 2. Introducing separate initial BWP for RedCap does not necessarily mean it has to be always present when a cell support the RedCap. This is depending on how the cell indicates support of RedCap.</w:t>
      </w:r>
    </w:p>
    <w:p w:rsidR="00186F8A" w:rsidRPr="002C6C08" w:rsidRDefault="00186F8A" w:rsidP="003E16F6">
      <w:pPr>
        <w:widowControl/>
        <w:spacing w:line="240" w:lineRule="atLeast"/>
        <w:rPr>
          <w:rFonts w:ascii="Arial" w:eastAsia="Arial Unicode MS" w:hAnsi="Arial"/>
          <w:kern w:val="0"/>
          <w:sz w:val="20"/>
          <w:szCs w:val="20"/>
        </w:rPr>
      </w:pPr>
    </w:p>
    <w:p w:rsidR="00AC3017" w:rsidRDefault="00AC3017" w:rsidP="00AC3017">
      <w:pPr>
        <w:widowControl/>
        <w:spacing w:before="60" w:after="120" w:line="240" w:lineRule="atLeast"/>
        <w:rPr>
          <w:rFonts w:ascii="Arial" w:hAnsi="Arial"/>
          <w:b/>
          <w:kern w:val="0"/>
          <w:sz w:val="20"/>
          <w:szCs w:val="20"/>
        </w:rPr>
      </w:pPr>
      <w:r>
        <w:rPr>
          <w:rFonts w:ascii="Arial" w:hAnsi="Arial" w:hint="eastAsia"/>
          <w:b/>
          <w:kern w:val="0"/>
          <w:sz w:val="20"/>
          <w:szCs w:val="20"/>
        </w:rPr>
        <w:t xml:space="preserve">Proposal 1: </w:t>
      </w:r>
      <w:r>
        <w:rPr>
          <w:rFonts w:ascii="Arial" w:hAnsi="Arial"/>
          <w:b/>
          <w:kern w:val="0"/>
          <w:sz w:val="20"/>
          <w:szCs w:val="20"/>
        </w:rPr>
        <w:t>RAN2 to discuss a possibility of introducing initial BWP specific to RedCap UEs.</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E16F6" w:rsidRDefault="001D40F6" w:rsidP="003E16F6">
      <w:pPr>
        <w:widowControl/>
        <w:spacing w:line="240" w:lineRule="atLeast"/>
        <w:rPr>
          <w:rFonts w:ascii="Arial" w:eastAsia="Calibri" w:hAnsi="Arial" w:cs="Arial"/>
          <w:lang w:val="sv-SE"/>
        </w:rPr>
      </w:pPr>
      <w:r>
        <w:rPr>
          <w:rFonts w:ascii="Arial" w:eastAsia="Arial Unicode MS" w:hAnsi="Arial" w:hint="eastAsia"/>
          <w:kern w:val="0"/>
          <w:sz w:val="20"/>
          <w:szCs w:val="20"/>
        </w:rPr>
        <w:t>[1</w:t>
      </w:r>
      <w:r w:rsidR="00E249F0">
        <w:rPr>
          <w:rFonts w:ascii="Arial" w:eastAsia="Arial Unicode MS" w:hAnsi="Arial" w:hint="eastAsia"/>
          <w:kern w:val="0"/>
          <w:sz w:val="20"/>
          <w:szCs w:val="20"/>
        </w:rPr>
        <w:t xml:space="preserve">] R2-2106921, </w:t>
      </w:r>
      <w:r w:rsidR="00E249F0" w:rsidRPr="003C4438">
        <w:rPr>
          <w:rFonts w:ascii="Arial" w:hAnsi="Arial" w:cs="Arial"/>
          <w:bCs/>
        </w:rPr>
        <w:t xml:space="preserve">LS on </w:t>
      </w:r>
      <w:r w:rsidR="00E249F0">
        <w:rPr>
          <w:rFonts w:ascii="Arial" w:hAnsi="Arial" w:cs="Arial"/>
          <w:bCs/>
        </w:rPr>
        <w:t xml:space="preserve">RAN1 agreements </w:t>
      </w:r>
      <w:r w:rsidR="00E249F0" w:rsidRPr="00B57BA3">
        <w:rPr>
          <w:rFonts w:ascii="Arial" w:eastAsia="Calibri" w:hAnsi="Arial" w:cs="Arial"/>
          <w:lang w:val="sv-SE"/>
        </w:rPr>
        <w:t xml:space="preserve">on </w:t>
      </w:r>
      <w:r w:rsidR="00E249F0" w:rsidRPr="008B57D7">
        <w:rPr>
          <w:rFonts w:ascii="Arial" w:eastAsia="Calibri" w:hAnsi="Arial" w:cs="Arial"/>
          <w:lang w:val="sv-SE"/>
        </w:rPr>
        <w:t>RAN2-led features for RedCap</w:t>
      </w:r>
      <w:r w:rsidR="00E249F0">
        <w:rPr>
          <w:rFonts w:ascii="Arial" w:eastAsia="Calibri" w:hAnsi="Arial" w:cs="Arial"/>
          <w:lang w:val="sv-SE"/>
        </w:rPr>
        <w:t>, RAN1</w:t>
      </w:r>
    </w:p>
    <w:p w:rsidR="001D40F6" w:rsidRPr="002C6C08" w:rsidRDefault="001D40F6" w:rsidP="001D40F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[2</w:t>
      </w:r>
      <w:r w:rsidRPr="002C6C08">
        <w:rPr>
          <w:rFonts w:ascii="Arial" w:eastAsia="Arial Unicode MS" w:hAnsi="Arial" w:hint="eastAsia"/>
          <w:kern w:val="0"/>
          <w:sz w:val="20"/>
          <w:szCs w:val="20"/>
        </w:rPr>
        <w:t xml:space="preserve">] </w:t>
      </w:r>
      <w:r w:rsidRPr="00455610">
        <w:rPr>
          <w:rFonts w:ascii="Arial" w:eastAsia="Arial Unicode MS" w:hAnsi="Arial"/>
          <w:kern w:val="0"/>
          <w:sz w:val="20"/>
          <w:szCs w:val="20"/>
        </w:rPr>
        <w:t>R2-2106472</w:t>
      </w:r>
      <w:r>
        <w:rPr>
          <w:rFonts w:ascii="Arial" w:eastAsia="Arial Unicode MS" w:hAnsi="Arial"/>
          <w:kern w:val="0"/>
          <w:sz w:val="20"/>
          <w:szCs w:val="20"/>
        </w:rPr>
        <w:t xml:space="preserve">, </w:t>
      </w:r>
      <w:r w:rsidRPr="00455610">
        <w:rPr>
          <w:rFonts w:ascii="Arial" w:eastAsia="Arial Unicode MS" w:hAnsi="Arial"/>
          <w:kern w:val="0"/>
          <w:sz w:val="20"/>
          <w:szCs w:val="20"/>
        </w:rPr>
        <w:t>Report from Break-out session on R17 NTN and REDCAP</w:t>
      </w:r>
    </w:p>
    <w:p w:rsidR="001D40F6" w:rsidRPr="002C6C08" w:rsidRDefault="002C4BF0"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[3] </w:t>
      </w:r>
      <w:hyperlink r:id="rId8" w:history="1">
        <w:r w:rsidRPr="002C4BF0">
          <w:rPr>
            <w:rStyle w:val="a9"/>
            <w:rFonts w:ascii="Arial" w:eastAsia="Arial Unicode MS" w:hAnsi="Arial"/>
            <w:kern w:val="0"/>
            <w:sz w:val="20"/>
            <w:szCs w:val="20"/>
          </w:rPr>
          <w:t>R1-2106213</w:t>
        </w:r>
      </w:hyperlink>
      <w:r>
        <w:rPr>
          <w:rFonts w:ascii="Arial" w:eastAsia="Arial Unicode MS" w:hAnsi="Arial"/>
          <w:kern w:val="0"/>
          <w:sz w:val="20"/>
          <w:szCs w:val="20"/>
        </w:rPr>
        <w:t xml:space="preserve">, </w:t>
      </w:r>
      <w:r w:rsidR="002879C3" w:rsidRPr="002879C3">
        <w:rPr>
          <w:rFonts w:ascii="Arial" w:eastAsia="Arial Unicode MS" w:hAnsi="Arial"/>
          <w:kern w:val="0"/>
          <w:sz w:val="20"/>
          <w:szCs w:val="20"/>
        </w:rPr>
        <w:t>RAN1 agreements for Rel-17 NR RedCap</w:t>
      </w: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Annex for reference [</w:t>
      </w:r>
      <w:r w:rsidR="0031764A">
        <w:rPr>
          <w:rFonts w:ascii="Arial" w:eastAsia="Arial Unicode MS" w:hAnsi="Arial"/>
          <w:kern w:val="0"/>
          <w:sz w:val="32"/>
          <w:szCs w:val="20"/>
        </w:rPr>
        <w:t>3</w:t>
      </w:r>
      <w:r w:rsidRPr="002C6C08">
        <w:rPr>
          <w:rFonts w:ascii="Arial" w:eastAsia="Arial Unicode MS" w:hAnsi="Arial" w:hint="eastAsia"/>
          <w:kern w:val="0"/>
          <w:sz w:val="32"/>
          <w:szCs w:val="20"/>
        </w:rPr>
        <w:t>]</w:t>
      </w:r>
    </w:p>
    <w:p w:rsidR="003E16F6" w:rsidRDefault="00492775" w:rsidP="009F7356">
      <w:pPr>
        <w:widowControl/>
        <w:jc w:val="left"/>
        <w:rPr>
          <w:rFonts w:ascii="Times" w:eastAsia="Batang" w:hAnsi="Times" w:cs="Times New Roman"/>
          <w:kern w:val="0"/>
          <w:sz w:val="20"/>
          <w:szCs w:val="24"/>
          <w:lang w:eastAsia="en-US"/>
        </w:rPr>
      </w:pPr>
      <w:r w:rsidRPr="00492775">
        <w:rPr>
          <w:rFonts w:ascii="Times" w:eastAsia="Batang" w:hAnsi="Times" w:cs="Times New Roman"/>
          <w:kern w:val="0"/>
          <w:sz w:val="20"/>
          <w:szCs w:val="24"/>
          <w:lang w:eastAsia="en-US"/>
        </w:rPr>
        <w:t>RAN1#</w:t>
      </w:r>
      <w:r w:rsidRPr="00492775">
        <w:rPr>
          <w:rFonts w:ascii="Times" w:eastAsia="Batang" w:hAnsi="Times" w:cs="Times New Roman"/>
          <w:kern w:val="0"/>
          <w:sz w:val="16"/>
          <w:szCs w:val="24"/>
          <w:lang w:eastAsia="en-US"/>
        </w:rPr>
        <w:t>105-e</w:t>
      </w:r>
      <w:r w:rsidRPr="00492775">
        <w:rPr>
          <w:rFonts w:ascii="Times" w:eastAsia="Batang" w:hAnsi="Times" w:cs="Times New Roman"/>
          <w:kern w:val="0"/>
          <w:sz w:val="20"/>
          <w:szCs w:val="24"/>
          <w:lang w:eastAsia="en-US"/>
        </w:rPr>
        <w:t>:</w:t>
      </w:r>
    </w:p>
    <w:p w:rsidR="00BF1733" w:rsidRPr="009F7356" w:rsidRDefault="00BF1733" w:rsidP="009F7356">
      <w:pPr>
        <w:widowControl/>
        <w:jc w:val="left"/>
        <w:rPr>
          <w:rFonts w:ascii="Times" w:eastAsia="Batang" w:hAnsi="Times" w:cs="Times New Roman"/>
          <w:kern w:val="0"/>
          <w:sz w:val="20"/>
          <w:szCs w:val="24"/>
          <w:lang w:eastAsia="en-US"/>
        </w:rPr>
      </w:pPr>
    </w:p>
    <w:tbl>
      <w:tblPr>
        <w:tblW w:w="9889" w:type="dxa"/>
        <w:tblCellMar>
          <w:left w:w="0" w:type="dxa"/>
          <w:right w:w="0" w:type="dxa"/>
        </w:tblCellMar>
        <w:tblLook w:val="04A0" w:firstRow="1" w:lastRow="0" w:firstColumn="1" w:lastColumn="0" w:noHBand="0" w:noVBand="1"/>
      </w:tblPr>
      <w:tblGrid>
        <w:gridCol w:w="9889"/>
      </w:tblGrid>
      <w:tr w:rsidR="0031764A" w:rsidTr="007358C4">
        <w:tc>
          <w:tcPr>
            <w:tcW w:w="988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1764A" w:rsidRPr="007358C4" w:rsidRDefault="0091699D" w:rsidP="007358C4">
            <w:pPr>
              <w:rPr>
                <w:rFonts w:ascii="Times" w:hAnsi="Times" w:cs="Times"/>
                <w:sz w:val="20"/>
                <w:szCs w:val="20"/>
                <w:lang w:eastAsia="x-none"/>
              </w:rPr>
            </w:pPr>
            <w:hyperlink r:id="rId9" w:history="1">
              <w:r w:rsidR="0031764A" w:rsidRPr="007358C4">
                <w:rPr>
                  <w:rStyle w:val="a9"/>
                  <w:rFonts w:ascii="Times" w:hAnsi="Times" w:cs="Times"/>
                  <w:sz w:val="20"/>
                  <w:szCs w:val="20"/>
                </w:rPr>
                <w:t>R1-2105999</w:t>
              </w:r>
            </w:hyperlink>
            <w:r w:rsidR="0031764A" w:rsidRPr="007358C4">
              <w:rPr>
                <w:rFonts w:ascii="Times" w:hAnsi="Times" w:cs="Times"/>
                <w:sz w:val="20"/>
                <w:szCs w:val="20"/>
                <w:lang w:eastAsia="x-none"/>
              </w:rPr>
              <w:tab/>
              <w:t>FL summary #1 on reduced maximum UE bandwidth for RedCap</w:t>
            </w:r>
            <w:r w:rsidR="0031764A" w:rsidRPr="007358C4">
              <w:rPr>
                <w:rFonts w:ascii="Times" w:hAnsi="Times" w:cs="Times"/>
                <w:sz w:val="20"/>
                <w:szCs w:val="20"/>
                <w:lang w:eastAsia="x-none"/>
              </w:rPr>
              <w:tab/>
              <w:t>Moderator (Ericsson)</w:t>
            </w:r>
          </w:p>
          <w:p w:rsidR="0031764A" w:rsidRPr="007358C4" w:rsidRDefault="0091699D" w:rsidP="007358C4">
            <w:pPr>
              <w:rPr>
                <w:rFonts w:ascii="Times" w:hAnsi="Times" w:cs="Times"/>
                <w:sz w:val="20"/>
                <w:szCs w:val="20"/>
                <w:lang w:eastAsia="x-none"/>
              </w:rPr>
            </w:pPr>
            <w:hyperlink r:id="rId10" w:history="1">
              <w:r w:rsidR="0031764A" w:rsidRPr="007358C4">
                <w:rPr>
                  <w:rStyle w:val="a9"/>
                  <w:rFonts w:ascii="Times" w:hAnsi="Times" w:cs="Times"/>
                  <w:sz w:val="20"/>
                  <w:szCs w:val="20"/>
                </w:rPr>
                <w:t>R1-2106000</w:t>
              </w:r>
            </w:hyperlink>
            <w:r w:rsidR="0031764A" w:rsidRPr="007358C4">
              <w:rPr>
                <w:rFonts w:ascii="Times" w:hAnsi="Times" w:cs="Times"/>
                <w:sz w:val="20"/>
                <w:szCs w:val="20"/>
                <w:lang w:eastAsia="x-none"/>
              </w:rPr>
              <w:tab/>
              <w:t>FL summary #2 on reduced maximum UE bandwidth for RedCap</w:t>
            </w:r>
            <w:r w:rsidR="0031764A" w:rsidRPr="007358C4">
              <w:rPr>
                <w:rFonts w:ascii="Times" w:hAnsi="Times" w:cs="Times"/>
                <w:sz w:val="20"/>
                <w:szCs w:val="20"/>
                <w:lang w:eastAsia="x-none"/>
              </w:rPr>
              <w:tab/>
              <w:t>Moderator (Ericsson)</w:t>
            </w:r>
          </w:p>
          <w:p w:rsidR="0031764A" w:rsidRPr="007358C4" w:rsidRDefault="0091699D" w:rsidP="007358C4">
            <w:pPr>
              <w:rPr>
                <w:rFonts w:ascii="Times" w:hAnsi="Times" w:cs="Times"/>
                <w:sz w:val="20"/>
                <w:szCs w:val="20"/>
                <w:lang w:eastAsia="x-none"/>
              </w:rPr>
            </w:pPr>
            <w:hyperlink r:id="rId11" w:history="1">
              <w:r w:rsidR="0031764A" w:rsidRPr="007358C4">
                <w:rPr>
                  <w:rStyle w:val="a9"/>
                  <w:rFonts w:ascii="Times" w:hAnsi="Times" w:cs="Times"/>
                  <w:sz w:val="20"/>
                  <w:szCs w:val="20"/>
                </w:rPr>
                <w:t>R1-2106001</w:t>
              </w:r>
            </w:hyperlink>
            <w:r w:rsidR="0031764A" w:rsidRPr="007358C4">
              <w:rPr>
                <w:rFonts w:ascii="Times" w:hAnsi="Times" w:cs="Times"/>
                <w:sz w:val="20"/>
                <w:szCs w:val="20"/>
                <w:lang w:eastAsia="x-none"/>
              </w:rPr>
              <w:tab/>
              <w:t>FL summary #3 on reduced maximum UE bandwidth for RedCap</w:t>
            </w:r>
            <w:r w:rsidR="0031764A" w:rsidRPr="007358C4">
              <w:rPr>
                <w:rFonts w:ascii="Times" w:hAnsi="Times" w:cs="Times"/>
                <w:sz w:val="20"/>
                <w:szCs w:val="20"/>
                <w:lang w:eastAsia="x-none"/>
              </w:rPr>
              <w:tab/>
              <w:t>Moderator (Ericsson)</w:t>
            </w:r>
          </w:p>
          <w:p w:rsidR="0031764A" w:rsidRPr="007358C4" w:rsidRDefault="0091699D" w:rsidP="007358C4">
            <w:pPr>
              <w:rPr>
                <w:rFonts w:ascii="Times" w:hAnsi="Times" w:cs="Times"/>
                <w:sz w:val="20"/>
                <w:szCs w:val="20"/>
                <w:lang w:eastAsia="x-none"/>
              </w:rPr>
            </w:pPr>
            <w:hyperlink r:id="rId12" w:history="1">
              <w:r w:rsidR="0031764A" w:rsidRPr="007358C4">
                <w:rPr>
                  <w:rStyle w:val="a9"/>
                  <w:rFonts w:ascii="Times" w:hAnsi="Times" w:cs="Times"/>
                  <w:sz w:val="20"/>
                  <w:szCs w:val="20"/>
                </w:rPr>
                <w:t>R1-2106002</w:t>
              </w:r>
            </w:hyperlink>
            <w:r w:rsidR="0031764A" w:rsidRPr="007358C4">
              <w:rPr>
                <w:rFonts w:ascii="Times" w:hAnsi="Times" w:cs="Times"/>
                <w:sz w:val="20"/>
                <w:szCs w:val="20"/>
                <w:lang w:eastAsia="x-none"/>
              </w:rPr>
              <w:tab/>
              <w:t>FL summary #4 on reduced maximum UE bandwidth for RedCap</w:t>
            </w:r>
            <w:r w:rsidR="0031764A" w:rsidRPr="007358C4">
              <w:rPr>
                <w:rFonts w:ascii="Times" w:hAnsi="Times" w:cs="Times"/>
                <w:sz w:val="20"/>
                <w:szCs w:val="20"/>
                <w:lang w:eastAsia="x-none"/>
              </w:rPr>
              <w:tab/>
              <w:t>Moderator (Ericsson)</w:t>
            </w:r>
          </w:p>
          <w:p w:rsidR="0031764A" w:rsidRPr="007358C4" w:rsidRDefault="0031764A" w:rsidP="007358C4">
            <w:pPr>
              <w:rPr>
                <w:rFonts w:ascii="Times" w:hAnsi="Times" w:cs="Times"/>
                <w:sz w:val="20"/>
                <w:szCs w:val="20"/>
              </w:rPr>
            </w:pPr>
          </w:p>
          <w:p w:rsidR="0031764A" w:rsidRPr="007358C4" w:rsidRDefault="0031764A" w:rsidP="007358C4">
            <w:pPr>
              <w:rPr>
                <w:rFonts w:ascii="Times" w:hAnsi="Times" w:cs="Times"/>
                <w:sz w:val="20"/>
                <w:szCs w:val="20"/>
              </w:rPr>
            </w:pPr>
            <w:r w:rsidRPr="007358C4">
              <w:rPr>
                <w:rFonts w:ascii="Times" w:hAnsi="Times" w:cs="Times"/>
                <w:sz w:val="20"/>
                <w:szCs w:val="20"/>
                <w:highlight w:val="green"/>
              </w:rPr>
              <w:t>Agreements</w:t>
            </w:r>
            <w:r w:rsidRPr="007358C4">
              <w:rPr>
                <w:rFonts w:ascii="Times" w:hAnsi="Times" w:cs="Times"/>
                <w:sz w:val="20"/>
                <w:szCs w:val="20"/>
              </w:rPr>
              <w:t>: Replace the RAN1#104bis-e working assumption with the following working assumption (for option 1) and working assumption (for option 2):</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lang w:val="en-US" w:eastAsia="zh-CN"/>
              </w:rPr>
            </w:pPr>
            <w:r w:rsidRPr="007358C4">
              <w:rPr>
                <w:rFonts w:ascii="Times" w:eastAsia="Times New Roman" w:hAnsi="Times" w:cs="Times"/>
                <w:sz w:val="20"/>
                <w:szCs w:val="20"/>
                <w:highlight w:val="darkYellow"/>
              </w:rPr>
              <w:t>Working assumption:</w:t>
            </w:r>
            <w:r w:rsidRPr="007358C4">
              <w:rPr>
                <w:rFonts w:ascii="Times" w:eastAsia="Times New Roman" w:hAnsi="Times" w:cs="Times"/>
                <w:sz w:val="20"/>
                <w:szCs w:val="20"/>
              </w:rPr>
              <w:t xml:space="preserve"> After initial access (i.e., after RRC Setup, RRC Resume, or RRC Reestablishment), for BWP#0 configuration option 1 (as in 38.331, Appendix B2), a RedCap UE is not expected to operate with an initial DL BWP wider than the maximum RedCap UE bandwidth.</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lang w:eastAsia="zh-CN"/>
              </w:rPr>
            </w:pPr>
            <w:r w:rsidRPr="007358C4">
              <w:rPr>
                <w:rFonts w:ascii="Times" w:eastAsia="Times New Roman" w:hAnsi="Times" w:cs="Times"/>
                <w:sz w:val="20"/>
                <w:szCs w:val="20"/>
                <w:highlight w:val="darkYellow"/>
              </w:rPr>
              <w:t>Working assumption:</w:t>
            </w:r>
            <w:r w:rsidRPr="007358C4">
              <w:rPr>
                <w:rFonts w:ascii="Times" w:eastAsia="Times New Roman" w:hAnsi="Times" w:cs="Times"/>
                <w:sz w:val="20"/>
                <w:szCs w:val="20"/>
              </w:rPr>
              <w:t xml:space="preserve"> After initial access (i.e., after RRC Setup, RRC Resume, or RRC Reestablishment), for BWP#0 configuration option 2 (as in 38.331, Appendix B2), a RedCap UE is not expected to operate with an initial DL BWP wider than the maximum RedCap UE bandwidth.</w:t>
            </w:r>
          </w:p>
          <w:p w:rsidR="0031764A" w:rsidRPr="007358C4" w:rsidRDefault="0031764A" w:rsidP="007358C4">
            <w:pPr>
              <w:spacing w:line="252" w:lineRule="auto"/>
              <w:rPr>
                <w:rFonts w:ascii="Times" w:eastAsia="Times New Roman" w:hAnsi="Times" w:cs="Times"/>
                <w:sz w:val="20"/>
                <w:szCs w:val="20"/>
                <w:lang w:eastAsia="zh-CN"/>
              </w:rPr>
            </w:pPr>
          </w:p>
          <w:p w:rsidR="0031764A" w:rsidRPr="007358C4" w:rsidRDefault="0031764A" w:rsidP="007358C4">
            <w:pPr>
              <w:rPr>
                <w:rFonts w:ascii="Times" w:hAnsi="Times" w:cs="Times"/>
                <w:sz w:val="20"/>
              </w:rPr>
            </w:pPr>
            <w:r w:rsidRPr="007358C4">
              <w:rPr>
                <w:rFonts w:ascii="Times" w:hAnsi="Times" w:cs="Times"/>
                <w:sz w:val="20"/>
                <w:highlight w:val="green"/>
              </w:rPr>
              <w:t>Agreements:</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Both during and after initial access, the scenario where the initial UL BWP for non-RedCap UEs is configured to be wider than the maximum RedCap UE bandwidth is allowed.</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highlight w:val="darkYellow"/>
              </w:rPr>
              <w:t>Working assumption:</w:t>
            </w:r>
            <w:r w:rsidRPr="007358C4">
              <w:rPr>
                <w:rFonts w:ascii="Times" w:eastAsia="Times New Roman" w:hAnsi="Times" w:cs="Times"/>
                <w:sz w:val="20"/>
                <w:szCs w:val="20"/>
              </w:rPr>
              <w:t xml:space="preserve"> Both during and after initial access, for the scenario where the initial UL BWP for non-RedCap UEs is configured to be wider than the RedCap UE bandwidth, a separate initial UL BWP no wider than the RedCap UE maximum bandwidth is configured/defined for RedCap UEs.</w:t>
            </w:r>
          </w:p>
          <w:p w:rsidR="0031764A" w:rsidRPr="007358C4" w:rsidRDefault="0031764A" w:rsidP="007358C4">
            <w:pPr>
              <w:widowControl/>
              <w:numPr>
                <w:ilvl w:val="1"/>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FFS: whether/how to avoid or minimize PUSCH resource fragmentation due to PUCCH transmission for the above case</w:t>
            </w:r>
          </w:p>
          <w:p w:rsidR="0031764A" w:rsidRPr="007358C4" w:rsidRDefault="0031764A" w:rsidP="007358C4">
            <w:pPr>
              <w:widowControl/>
              <w:numPr>
                <w:ilvl w:val="1"/>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 xml:space="preserve">Support the case when the centre frequency is assumed to be the same for the initial DL and UL BWPs in TDD. </w:t>
            </w:r>
          </w:p>
          <w:p w:rsidR="0031764A" w:rsidRPr="007358C4" w:rsidRDefault="0031764A" w:rsidP="007358C4">
            <w:pPr>
              <w:widowControl/>
              <w:numPr>
                <w:ilvl w:val="2"/>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lastRenderedPageBreak/>
              <w:t xml:space="preserve">FFS whether or not to additionally support the case when the centre frequency is different; if so, how to minimize centre frequency retuning  </w:t>
            </w:r>
          </w:p>
          <w:p w:rsidR="0031764A" w:rsidRPr="007358C4" w:rsidRDefault="0031764A" w:rsidP="007358C4">
            <w:pPr>
              <w:rPr>
                <w:rFonts w:ascii="Times" w:hAnsi="Times" w:cs="Times"/>
                <w:sz w:val="20"/>
              </w:rPr>
            </w:pPr>
          </w:p>
          <w:p w:rsidR="0031764A" w:rsidRPr="007358C4" w:rsidRDefault="0031764A" w:rsidP="007358C4">
            <w:pPr>
              <w:spacing w:line="252" w:lineRule="auto"/>
              <w:rPr>
                <w:rFonts w:ascii="Times" w:hAnsi="Times" w:cs="Times"/>
                <w:sz w:val="20"/>
                <w:szCs w:val="20"/>
              </w:rPr>
            </w:pPr>
            <w:r w:rsidRPr="007358C4">
              <w:rPr>
                <w:rFonts w:ascii="Times" w:hAnsi="Times" w:cs="Times"/>
                <w:sz w:val="20"/>
                <w:szCs w:val="20"/>
                <w:highlight w:val="green"/>
              </w:rPr>
              <w:t>Agreements:</w:t>
            </w:r>
            <w:r w:rsidRPr="007358C4">
              <w:rPr>
                <w:rFonts w:ascii="Times" w:hAnsi="Times" w:cs="Times"/>
                <w:sz w:val="20"/>
                <w:szCs w:val="20"/>
              </w:rPr>
              <w:t xml:space="preserve"> Take the following as an agreement, revised from the RAN1#104bis-e working assumption:</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lang w:val="en-US"/>
              </w:rPr>
            </w:pPr>
            <w:r w:rsidRPr="007358C4">
              <w:rPr>
                <w:rFonts w:ascii="Times" w:eastAsia="Times New Roman" w:hAnsi="Times" w:cs="Times"/>
                <w:sz w:val="20"/>
                <w:szCs w:val="20"/>
              </w:rPr>
              <w:t>A RedCap UE cannot be configured with a non-initial (DL or UL) BWP (i.e., a BWP with a non-zero index) wider than the maximum bandwidth of the RedCap UE.</w:t>
            </w:r>
          </w:p>
          <w:p w:rsidR="0031764A" w:rsidRPr="007358C4" w:rsidRDefault="0031764A" w:rsidP="007358C4">
            <w:pPr>
              <w:widowControl/>
              <w:numPr>
                <w:ilvl w:val="1"/>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At least for FR1, FG 6-1 (“Basic BWP operation with restriction” as described in TR 38.822) is used as a starting point for the mandatory RedCap UE type capability.</w:t>
            </w:r>
          </w:p>
          <w:p w:rsidR="0031764A" w:rsidRPr="007358C4" w:rsidRDefault="0031764A" w:rsidP="007358C4">
            <w:pPr>
              <w:widowControl/>
              <w:numPr>
                <w:ilvl w:val="2"/>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This does not preclude support of FG 6-1a (“BWP operation without restriction on BW of BWP(s)” as described in TR 38.822) as a UE capability for RedCap UEs.</w:t>
            </w:r>
          </w:p>
          <w:p w:rsidR="0031764A" w:rsidRPr="007358C4" w:rsidRDefault="0031764A" w:rsidP="007358C4">
            <w:pPr>
              <w:rPr>
                <w:rFonts w:ascii="Times" w:hAnsi="Times" w:cs="Times"/>
                <w:sz w:val="20"/>
              </w:rPr>
            </w:pPr>
          </w:p>
          <w:p w:rsidR="0031764A" w:rsidRPr="007358C4" w:rsidRDefault="0031764A" w:rsidP="007358C4">
            <w:pPr>
              <w:rPr>
                <w:rFonts w:ascii="Times" w:hAnsi="Times" w:cs="Times"/>
                <w:sz w:val="20"/>
              </w:rPr>
            </w:pPr>
            <w:r w:rsidRPr="007358C4">
              <w:rPr>
                <w:rFonts w:ascii="Times" w:hAnsi="Times" w:cs="Times"/>
                <w:sz w:val="20"/>
                <w:highlight w:val="darkYellow"/>
              </w:rPr>
              <w:t>Working assumption:</w:t>
            </w:r>
          </w:p>
          <w:p w:rsidR="0031764A" w:rsidRPr="007358C4" w:rsidRDefault="0031764A" w:rsidP="007358C4">
            <w:pPr>
              <w:widowControl/>
              <w:numPr>
                <w:ilvl w:val="0"/>
                <w:numId w:val="4"/>
              </w:numPr>
              <w:jc w:val="left"/>
              <w:rPr>
                <w:rFonts w:ascii="Times" w:hAnsi="Times" w:cs="Times"/>
                <w:sz w:val="20"/>
              </w:rPr>
            </w:pPr>
            <w:r w:rsidRPr="007358C4">
              <w:rPr>
                <w:rFonts w:ascii="Times" w:hAnsi="Times" w:cs="Times"/>
                <w:sz w:val="20"/>
              </w:rPr>
              <w:t>Both during and after initial access, even for the scenario where the initial UL BWP for non-RedCap UEs is not configured to be wider than the RedCap UE bandwidth, a separate initial UL BWP can optionally be configured/defined for RedCap UEs.</w:t>
            </w:r>
          </w:p>
          <w:p w:rsidR="0031764A" w:rsidRPr="007358C4" w:rsidRDefault="0031764A" w:rsidP="007358C4">
            <w:pPr>
              <w:widowControl/>
              <w:numPr>
                <w:ilvl w:val="1"/>
                <w:numId w:val="4"/>
              </w:numPr>
              <w:spacing w:line="252" w:lineRule="auto"/>
              <w:jc w:val="left"/>
              <w:rPr>
                <w:rFonts w:ascii="Times" w:hAnsi="Times" w:cs="Times"/>
                <w:sz w:val="20"/>
              </w:rPr>
            </w:pPr>
            <w:r w:rsidRPr="007358C4">
              <w:rPr>
                <w:rFonts w:ascii="Times" w:hAnsi="Times" w:cs="Times"/>
                <w:sz w:val="20"/>
              </w:rPr>
              <w:t>RO sharing between RedCap and non-RedCap is not precluded.</w:t>
            </w:r>
          </w:p>
          <w:p w:rsidR="0031764A" w:rsidRPr="007358C4" w:rsidRDefault="0031764A" w:rsidP="007358C4">
            <w:pPr>
              <w:rPr>
                <w:rFonts w:ascii="Times" w:hAnsi="Times" w:cs="Times"/>
                <w:sz w:val="20"/>
              </w:rPr>
            </w:pPr>
          </w:p>
          <w:p w:rsidR="0031764A" w:rsidRPr="007358C4" w:rsidRDefault="0031764A" w:rsidP="007358C4">
            <w:pPr>
              <w:spacing w:line="252" w:lineRule="auto"/>
              <w:rPr>
                <w:rFonts w:ascii="Times" w:eastAsia="Times New Roman" w:hAnsi="Times" w:cs="Times"/>
                <w:sz w:val="20"/>
                <w:szCs w:val="20"/>
              </w:rPr>
            </w:pPr>
            <w:r w:rsidRPr="007358C4">
              <w:rPr>
                <w:rFonts w:ascii="Times" w:eastAsia="Times New Roman" w:hAnsi="Times" w:cs="Times"/>
                <w:sz w:val="20"/>
                <w:szCs w:val="20"/>
                <w:highlight w:val="darkYellow"/>
              </w:rPr>
              <w:t>Working assumption:</w:t>
            </w:r>
          </w:p>
          <w:p w:rsidR="0031764A" w:rsidRPr="007358C4" w:rsidRDefault="0031764A" w:rsidP="007358C4">
            <w:pPr>
              <w:widowControl/>
              <w:numPr>
                <w:ilvl w:val="0"/>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rsidR="0031764A" w:rsidRPr="007358C4" w:rsidRDefault="0031764A" w:rsidP="007358C4">
            <w:pPr>
              <w:widowControl/>
              <w:numPr>
                <w:ilvl w:val="1"/>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Note: these ROs can be dedicated for RedCap UEs or shared with non-RedCap UEs.</w:t>
            </w:r>
          </w:p>
          <w:p w:rsidR="0031764A" w:rsidRPr="007358C4" w:rsidRDefault="0031764A" w:rsidP="007358C4">
            <w:pPr>
              <w:rPr>
                <w:rFonts w:ascii="Times" w:hAnsi="Times" w:cs="Times"/>
                <w:sz w:val="20"/>
              </w:rPr>
            </w:pPr>
          </w:p>
          <w:p w:rsidR="0031764A" w:rsidRPr="007358C4" w:rsidRDefault="0031764A" w:rsidP="007358C4">
            <w:pPr>
              <w:rPr>
                <w:rFonts w:ascii="Times" w:eastAsia="Times New Roman" w:hAnsi="Times" w:cs="Times"/>
                <w:sz w:val="20"/>
                <w:szCs w:val="20"/>
                <w:highlight w:val="darkYellow"/>
              </w:rPr>
            </w:pPr>
            <w:r w:rsidRPr="007358C4">
              <w:rPr>
                <w:rFonts w:ascii="Times" w:eastAsia="Times New Roman" w:hAnsi="Times" w:cs="Times"/>
                <w:sz w:val="20"/>
                <w:szCs w:val="20"/>
                <w:highlight w:val="darkYellow"/>
              </w:rPr>
              <w:t>Working assumption:</w:t>
            </w:r>
          </w:p>
          <w:p w:rsidR="0031764A" w:rsidRPr="007358C4" w:rsidRDefault="0031764A" w:rsidP="007358C4">
            <w:pPr>
              <w:widowControl/>
              <w:numPr>
                <w:ilvl w:val="0"/>
                <w:numId w:val="4"/>
              </w:numPr>
              <w:spacing w:line="252" w:lineRule="auto"/>
              <w:jc w:val="left"/>
              <w:rPr>
                <w:rFonts w:ascii="Times" w:hAnsi="Times" w:cs="Times"/>
                <w:sz w:val="20"/>
                <w:szCs w:val="20"/>
              </w:rPr>
            </w:pPr>
            <w:r w:rsidRPr="007358C4">
              <w:rPr>
                <w:rFonts w:ascii="Times" w:eastAsia="Times New Roman" w:hAnsi="Times" w:cs="Times"/>
                <w:sz w:val="20"/>
                <w:szCs w:val="20"/>
              </w:rPr>
              <w:t>For enabling/supporting that PUCCH (for Msg4/[MsgB] HARQ feedback) and/or PUSCH (for Msg3/[MsgA]) transmissions fall within the RedCap UE bandwidth during initial access, support separate initial UL BWP for RedCap UEs (which is not expected to exceed the maximum RedCap UE bandwidth).</w:t>
            </w:r>
          </w:p>
          <w:p w:rsidR="0031764A" w:rsidRPr="007358C4" w:rsidRDefault="0031764A" w:rsidP="007358C4">
            <w:pPr>
              <w:widowControl/>
              <w:numPr>
                <w:ilvl w:val="1"/>
                <w:numId w:val="4"/>
              </w:numPr>
              <w:spacing w:line="252" w:lineRule="auto"/>
              <w:jc w:val="left"/>
              <w:rPr>
                <w:rFonts w:ascii="Times" w:eastAsia="Times New Roman" w:hAnsi="Times" w:cs="Times"/>
                <w:sz w:val="20"/>
                <w:szCs w:val="20"/>
              </w:rPr>
            </w:pPr>
            <w:r w:rsidRPr="007358C4">
              <w:rPr>
                <w:rFonts w:ascii="Times" w:eastAsia="Times New Roman" w:hAnsi="Times" w:cs="Times"/>
                <w:sz w:val="20"/>
                <w:szCs w:val="20"/>
              </w:rPr>
              <w:t>FFS: whether/how the specification also supports separate PUCCH/Msg3/[MsgA] PUSCH configuration/indication or a different interpretation of the same configuration/indication for RedCap (e.g., disabled frequency hopping or different frequency hopping)</w:t>
            </w:r>
          </w:p>
          <w:p w:rsidR="0031764A" w:rsidRPr="007358C4" w:rsidRDefault="0031764A" w:rsidP="007358C4">
            <w:pPr>
              <w:rPr>
                <w:rFonts w:ascii="Times" w:hAnsi="Times" w:cs="Times"/>
                <w:sz w:val="20"/>
                <w:szCs w:val="20"/>
              </w:rPr>
            </w:pPr>
          </w:p>
          <w:p w:rsidR="0031764A" w:rsidRPr="007358C4" w:rsidRDefault="0031764A" w:rsidP="007358C4">
            <w:pPr>
              <w:rPr>
                <w:rFonts w:ascii="Times" w:hAnsi="Times" w:cs="Times"/>
                <w:sz w:val="20"/>
              </w:rPr>
            </w:pPr>
            <w:r w:rsidRPr="007358C4">
              <w:rPr>
                <w:rFonts w:ascii="Times" w:hAnsi="Times" w:cs="Times"/>
                <w:sz w:val="20"/>
                <w:highlight w:val="darkYellow"/>
              </w:rPr>
              <w:t>Working assumption:</w:t>
            </w:r>
          </w:p>
          <w:p w:rsidR="0031764A" w:rsidRPr="007358C4" w:rsidRDefault="0031764A" w:rsidP="007358C4">
            <w:pPr>
              <w:widowControl/>
              <w:numPr>
                <w:ilvl w:val="0"/>
                <w:numId w:val="4"/>
              </w:numPr>
              <w:spacing w:line="252" w:lineRule="auto"/>
              <w:jc w:val="left"/>
              <w:rPr>
                <w:rFonts w:ascii="Times" w:hAnsi="Times" w:cs="Times"/>
                <w:sz w:val="20"/>
              </w:rPr>
            </w:pPr>
            <w:r w:rsidRPr="007358C4">
              <w:rPr>
                <w:rFonts w:ascii="Times" w:hAnsi="Times" w:cs="Times"/>
                <w:sz w:val="20"/>
              </w:rPr>
              <w:t>At least for TDD, an initial DL BWP for RedCap UEs (which is not expected to exceed the maximum RedCap UE bandwidth) can be optionally configured/defined separately from the initial DL BWP for non-RedCap UEs at least after initial access</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FFS the details of the configuration/definition</w:t>
            </w:r>
          </w:p>
          <w:p w:rsidR="0031764A" w:rsidRPr="007358C4" w:rsidRDefault="0031764A" w:rsidP="007358C4">
            <w:pPr>
              <w:widowControl/>
              <w:numPr>
                <w:ilvl w:val="2"/>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The configuration for a separately configured initial DL BWP for RedCap UEs is signaled in SIB.</w:t>
            </w:r>
          </w:p>
          <w:p w:rsidR="0031764A" w:rsidRPr="007358C4" w:rsidRDefault="0031764A" w:rsidP="007358C4">
            <w:pPr>
              <w:widowControl/>
              <w:numPr>
                <w:ilvl w:val="2"/>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 xml:space="preserve">whether to support that separate initial DL BWP for RedCap UEs can include a configuration of CORESET and CSS(s) </w:t>
            </w:r>
          </w:p>
          <w:p w:rsidR="0031764A" w:rsidRPr="007358C4" w:rsidRDefault="0031764A" w:rsidP="007358C4">
            <w:pPr>
              <w:widowControl/>
              <w:numPr>
                <w:ilvl w:val="2"/>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whether part of the configuration can be defined instead of signaled</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If a separate initial DL BWP for RedCap UEs is configured/defined, this separate initial DL BWP for RedCap UEs can be used at least after initial access (i.e., at least after RRC Setup, RRC Resume, or RRC Reestablishment).</w:t>
            </w:r>
          </w:p>
          <w:p w:rsidR="0031764A" w:rsidRPr="007358C4" w:rsidRDefault="0031764A" w:rsidP="007358C4">
            <w:pPr>
              <w:widowControl/>
              <w:numPr>
                <w:ilvl w:val="2"/>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FFS during the initial access</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FFS: whether a separately configured initial DL BWP for RedCap UEs needs to contain the entire CORESET #0, and, if not, the Redcap UE behaviour for CORESET #0 monitoring</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FFS: supported bandwidths in the separate initial DL BWP</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eastAsia="x-none"/>
              </w:rPr>
            </w:pPr>
            <w:r w:rsidRPr="007358C4">
              <w:rPr>
                <w:rFonts w:ascii="Times" w:hAnsi="Times" w:cs="Times"/>
                <w:sz w:val="20"/>
                <w:lang w:eastAsia="x-none"/>
              </w:rPr>
              <w:t>FFS: whether additional SSB is transmitted in the separately configured initial DL BWP for RedCap UEs</w:t>
            </w:r>
          </w:p>
          <w:p w:rsidR="0031764A" w:rsidRPr="007358C4" w:rsidRDefault="0031764A" w:rsidP="007358C4">
            <w:pPr>
              <w:widowControl/>
              <w:numPr>
                <w:ilvl w:val="1"/>
                <w:numId w:val="4"/>
              </w:numPr>
              <w:autoSpaceDN w:val="0"/>
              <w:spacing w:line="252" w:lineRule="auto"/>
              <w:contextualSpacing/>
              <w:jc w:val="left"/>
              <w:rPr>
                <w:rFonts w:ascii="Times" w:hAnsi="Times" w:cs="Times"/>
                <w:sz w:val="20"/>
                <w:lang w:val="sv-SE" w:eastAsia="x-none"/>
              </w:rPr>
            </w:pPr>
            <w:r w:rsidRPr="007358C4">
              <w:rPr>
                <w:rFonts w:ascii="Times" w:hAnsi="Times" w:cs="Times"/>
                <w:sz w:val="20"/>
                <w:lang w:val="sv-SE" w:eastAsia="x-none"/>
              </w:rPr>
              <w:t>FFS: FDD case</w:t>
            </w:r>
          </w:p>
          <w:p w:rsidR="0031764A" w:rsidRDefault="0031764A" w:rsidP="007358C4">
            <w:pPr>
              <w:rPr>
                <w:rFonts w:ascii="Times New Roman" w:hAnsi="Times New Roman"/>
                <w:szCs w:val="20"/>
              </w:rPr>
            </w:pPr>
          </w:p>
        </w:tc>
      </w:tr>
    </w:tbl>
    <w:p w:rsidR="003E16F6" w:rsidRPr="002C6C08" w:rsidRDefault="003E16F6" w:rsidP="003E16F6"/>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699D" w:rsidRDefault="0091699D" w:rsidP="005F4664">
      <w:r>
        <w:separator/>
      </w:r>
    </w:p>
  </w:endnote>
  <w:endnote w:type="continuationSeparator" w:id="0">
    <w:p w:rsidR="0091699D" w:rsidRDefault="0091699D"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699D" w:rsidRDefault="0091699D" w:rsidP="005F4664">
      <w:r>
        <w:separator/>
      </w:r>
    </w:p>
  </w:footnote>
  <w:footnote w:type="continuationSeparator" w:id="0">
    <w:p w:rsidR="0091699D" w:rsidRDefault="0091699D"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00F6A"/>
    <w:multiLevelType w:val="hybridMultilevel"/>
    <w:tmpl w:val="229E57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A391F84"/>
    <w:multiLevelType w:val="hybridMultilevel"/>
    <w:tmpl w:val="13B0AFEA"/>
    <w:lvl w:ilvl="0" w:tplc="E71842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6EA51057"/>
    <w:multiLevelType w:val="hybridMultilevel"/>
    <w:tmpl w:val="03E4A1C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26CC5"/>
    <w:rsid w:val="00047324"/>
    <w:rsid w:val="000509B2"/>
    <w:rsid w:val="00052502"/>
    <w:rsid w:val="00096756"/>
    <w:rsid w:val="000A024E"/>
    <w:rsid w:val="000A233E"/>
    <w:rsid w:val="000F5372"/>
    <w:rsid w:val="00123109"/>
    <w:rsid w:val="001310F8"/>
    <w:rsid w:val="001504D8"/>
    <w:rsid w:val="00162512"/>
    <w:rsid w:val="00180BF1"/>
    <w:rsid w:val="00186F8A"/>
    <w:rsid w:val="00190B7D"/>
    <w:rsid w:val="001A1ED9"/>
    <w:rsid w:val="001C1521"/>
    <w:rsid w:val="001C5810"/>
    <w:rsid w:val="001D40F6"/>
    <w:rsid w:val="001D6661"/>
    <w:rsid w:val="00232733"/>
    <w:rsid w:val="00254FEC"/>
    <w:rsid w:val="0028555E"/>
    <w:rsid w:val="002879C3"/>
    <w:rsid w:val="00294A13"/>
    <w:rsid w:val="00297E8B"/>
    <w:rsid w:val="002A7B1A"/>
    <w:rsid w:val="002B68F3"/>
    <w:rsid w:val="002C4BF0"/>
    <w:rsid w:val="002D421A"/>
    <w:rsid w:val="002D7199"/>
    <w:rsid w:val="002E4305"/>
    <w:rsid w:val="002F7122"/>
    <w:rsid w:val="00306CD5"/>
    <w:rsid w:val="0031764A"/>
    <w:rsid w:val="00325701"/>
    <w:rsid w:val="003259FB"/>
    <w:rsid w:val="00346231"/>
    <w:rsid w:val="0035277F"/>
    <w:rsid w:val="00376480"/>
    <w:rsid w:val="00391CBE"/>
    <w:rsid w:val="003A0D4F"/>
    <w:rsid w:val="003C391C"/>
    <w:rsid w:val="003D2C3C"/>
    <w:rsid w:val="003E16F6"/>
    <w:rsid w:val="003E61F2"/>
    <w:rsid w:val="00402F69"/>
    <w:rsid w:val="0045162B"/>
    <w:rsid w:val="00455610"/>
    <w:rsid w:val="00457C44"/>
    <w:rsid w:val="00485574"/>
    <w:rsid w:val="00492775"/>
    <w:rsid w:val="004B2E43"/>
    <w:rsid w:val="004D0B78"/>
    <w:rsid w:val="004F0F43"/>
    <w:rsid w:val="00502B56"/>
    <w:rsid w:val="005061BF"/>
    <w:rsid w:val="00515056"/>
    <w:rsid w:val="00531CA1"/>
    <w:rsid w:val="00554FF9"/>
    <w:rsid w:val="005951B6"/>
    <w:rsid w:val="005D7798"/>
    <w:rsid w:val="005F4664"/>
    <w:rsid w:val="006010B7"/>
    <w:rsid w:val="0064351C"/>
    <w:rsid w:val="006736E7"/>
    <w:rsid w:val="00680C52"/>
    <w:rsid w:val="006822D9"/>
    <w:rsid w:val="006F1C23"/>
    <w:rsid w:val="00717247"/>
    <w:rsid w:val="007207FC"/>
    <w:rsid w:val="00721CE9"/>
    <w:rsid w:val="00747C29"/>
    <w:rsid w:val="00763BCF"/>
    <w:rsid w:val="00765069"/>
    <w:rsid w:val="0078543A"/>
    <w:rsid w:val="007D594C"/>
    <w:rsid w:val="007F67BC"/>
    <w:rsid w:val="00802029"/>
    <w:rsid w:val="00840B10"/>
    <w:rsid w:val="00847B22"/>
    <w:rsid w:val="008C06DA"/>
    <w:rsid w:val="008D7675"/>
    <w:rsid w:val="00906201"/>
    <w:rsid w:val="0091699D"/>
    <w:rsid w:val="00921746"/>
    <w:rsid w:val="00937B58"/>
    <w:rsid w:val="00937D44"/>
    <w:rsid w:val="009408E7"/>
    <w:rsid w:val="009668AF"/>
    <w:rsid w:val="00971660"/>
    <w:rsid w:val="0099026C"/>
    <w:rsid w:val="009A406E"/>
    <w:rsid w:val="009A4579"/>
    <w:rsid w:val="009B112E"/>
    <w:rsid w:val="009C6102"/>
    <w:rsid w:val="009F7356"/>
    <w:rsid w:val="00A078FE"/>
    <w:rsid w:val="00A1213B"/>
    <w:rsid w:val="00A124DF"/>
    <w:rsid w:val="00A4535A"/>
    <w:rsid w:val="00A51348"/>
    <w:rsid w:val="00A67322"/>
    <w:rsid w:val="00AC3017"/>
    <w:rsid w:val="00B02D35"/>
    <w:rsid w:val="00B23405"/>
    <w:rsid w:val="00B26B13"/>
    <w:rsid w:val="00B303EB"/>
    <w:rsid w:val="00B41DAA"/>
    <w:rsid w:val="00B67FD5"/>
    <w:rsid w:val="00B771C8"/>
    <w:rsid w:val="00B83F6E"/>
    <w:rsid w:val="00B9710E"/>
    <w:rsid w:val="00BD0D1C"/>
    <w:rsid w:val="00BF1733"/>
    <w:rsid w:val="00C0670F"/>
    <w:rsid w:val="00C23E3F"/>
    <w:rsid w:val="00C31FB2"/>
    <w:rsid w:val="00C37474"/>
    <w:rsid w:val="00C41E72"/>
    <w:rsid w:val="00C42905"/>
    <w:rsid w:val="00C53860"/>
    <w:rsid w:val="00CD211D"/>
    <w:rsid w:val="00CD59CC"/>
    <w:rsid w:val="00CE6063"/>
    <w:rsid w:val="00D2447A"/>
    <w:rsid w:val="00D3124C"/>
    <w:rsid w:val="00D723C1"/>
    <w:rsid w:val="00D80CE3"/>
    <w:rsid w:val="00D93609"/>
    <w:rsid w:val="00DB3F97"/>
    <w:rsid w:val="00DC7920"/>
    <w:rsid w:val="00E168FB"/>
    <w:rsid w:val="00E249F0"/>
    <w:rsid w:val="00E31308"/>
    <w:rsid w:val="00E32A9C"/>
    <w:rsid w:val="00E4482F"/>
    <w:rsid w:val="00E67F44"/>
    <w:rsid w:val="00E76248"/>
    <w:rsid w:val="00E7754A"/>
    <w:rsid w:val="00E864B6"/>
    <w:rsid w:val="00EA2016"/>
    <w:rsid w:val="00EA649A"/>
    <w:rsid w:val="00EB0333"/>
    <w:rsid w:val="00EC0B32"/>
    <w:rsid w:val="00EE299F"/>
    <w:rsid w:val="00EE58DB"/>
    <w:rsid w:val="00F22813"/>
    <w:rsid w:val="00F33AD5"/>
    <w:rsid w:val="00F532D1"/>
    <w:rsid w:val="00F803A1"/>
    <w:rsid w:val="00F81592"/>
    <w:rsid w:val="00F82F18"/>
    <w:rsid w:val="00F83DC7"/>
    <w:rsid w:val="00FA0767"/>
    <w:rsid w:val="00FA3970"/>
    <w:rsid w:val="00FA7A9D"/>
    <w:rsid w:val="00FB04C3"/>
    <w:rsid w:val="00FD0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Doc-text2">
    <w:name w:val="Doc-text2"/>
    <w:basedOn w:val="a"/>
    <w:link w:val="Doc-text2Char"/>
    <w:qFormat/>
    <w:rsid w:val="0045162B"/>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45162B"/>
    <w:rPr>
      <w:rFonts w:ascii="Arial" w:eastAsia="ＭＳ 明朝" w:hAnsi="Arial" w:cs="Times New Roman"/>
      <w:kern w:val="0"/>
      <w:sz w:val="20"/>
      <w:szCs w:val="24"/>
      <w:lang w:val="en-GB" w:eastAsia="en-GB"/>
    </w:rPr>
  </w:style>
  <w:style w:type="paragraph" w:customStyle="1" w:styleId="Comments">
    <w:name w:val="Comments"/>
    <w:basedOn w:val="a"/>
    <w:link w:val="CommentsChar"/>
    <w:qFormat/>
    <w:rsid w:val="0045162B"/>
    <w:pPr>
      <w:widowControl/>
      <w:spacing w:before="40"/>
      <w:jc w:val="left"/>
    </w:pPr>
    <w:rPr>
      <w:rFonts w:ascii="Arial" w:eastAsia="ＭＳ 明朝" w:hAnsi="Arial" w:cs="Times New Roman"/>
      <w:i/>
      <w:noProof/>
      <w:kern w:val="0"/>
      <w:sz w:val="18"/>
      <w:szCs w:val="24"/>
      <w:lang w:eastAsia="en-GB"/>
    </w:rPr>
  </w:style>
  <w:style w:type="character" w:customStyle="1" w:styleId="CommentsChar">
    <w:name w:val="Comments Char"/>
    <w:link w:val="Comments"/>
    <w:qFormat/>
    <w:rsid w:val="0045162B"/>
    <w:rPr>
      <w:rFonts w:ascii="Arial" w:eastAsia="ＭＳ 明朝" w:hAnsi="Arial" w:cs="Times New Roman"/>
      <w:i/>
      <w:noProof/>
      <w:kern w:val="0"/>
      <w:sz w:val="18"/>
      <w:szCs w:val="24"/>
      <w:lang w:val="en-GB" w:eastAsia="en-GB"/>
    </w:rPr>
  </w:style>
  <w:style w:type="paragraph" w:styleId="a7">
    <w:name w:val="List Paragraph"/>
    <w:basedOn w:val="a"/>
    <w:uiPriority w:val="34"/>
    <w:qFormat/>
    <w:rsid w:val="00096756"/>
    <w:pPr>
      <w:ind w:leftChars="400" w:left="840"/>
    </w:pPr>
  </w:style>
  <w:style w:type="table" w:styleId="a8">
    <w:name w:val="Table Grid"/>
    <w:basedOn w:val="a1"/>
    <w:uiPriority w:val="39"/>
    <w:rsid w:val="00A513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sid w:val="002C4B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105-e/Docs/R1-2106213.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https://www.3gpp.org/ftp/tsg_ran/WG1_RL1/TSGR1_105-e/Docs/R1-210600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05-e/Docs/R1-2106001.zip" TargetMode="External"/><Relationship Id="rId5" Type="http://schemas.openxmlformats.org/officeDocument/2006/relationships/footnotes" Target="footnotes.xml"/><Relationship Id="rId10" Type="http://schemas.openxmlformats.org/officeDocument/2006/relationships/hyperlink" Target="https://www.3gpp.org/ftp/tsg_ran/WG1_RL1/TSGR1_105-e/Docs/R1-2106000.zip" TargetMode="External"/><Relationship Id="rId4" Type="http://schemas.openxmlformats.org/officeDocument/2006/relationships/webSettings" Target="webSettings.xml"/><Relationship Id="rId9" Type="http://schemas.openxmlformats.org/officeDocument/2006/relationships/hyperlink" Target="https://www.3gpp.org/ftp/tsg_ran/WG1_RL1/TSGR1_105-e/Docs/R1-2105999.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429</TotalTime>
  <Pages>4</Pages>
  <Words>1733</Words>
  <Characters>9881</Characters>
  <Application>Microsoft Office Word</Application>
  <DocSecurity>0</DocSecurity>
  <Lines>82</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148</cp:revision>
  <dcterms:created xsi:type="dcterms:W3CDTF">2019-04-30T06:30:00Z</dcterms:created>
  <dcterms:modified xsi:type="dcterms:W3CDTF">2021-08-06T06:31:00Z</dcterms:modified>
</cp:coreProperties>
</file>